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bookmarkStart w:id="0" w:name="_GoBack"/>
      <w:bookmarkEnd w:id="0"/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8A15D2">
        <w:rPr>
          <w:rFonts w:ascii="Arial Narrow" w:hAnsi="Arial Narrow" w:cs="Arial"/>
          <w:b/>
          <w:sz w:val="22"/>
          <w:szCs w:val="22"/>
          <w:lang w:val="es-MX"/>
        </w:rPr>
        <w:t>MAYO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8A15D2">
        <w:rPr>
          <w:rFonts w:ascii="Arial Narrow" w:hAnsi="Arial Narrow" w:cs="Arial"/>
          <w:b/>
          <w:sz w:val="22"/>
          <w:szCs w:val="22"/>
          <w:lang w:val="es-MX"/>
        </w:rPr>
        <w:t>MAYO</w:t>
      </w:r>
      <w:r w:rsidR="007F4B26">
        <w:rPr>
          <w:rFonts w:ascii="Arial Narrow" w:hAnsi="Arial Narrow" w:cs="Arial"/>
          <w:b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5E3EDA">
        <w:rPr>
          <w:rFonts w:ascii="Arial Narrow" w:hAnsi="Arial Narrow" w:cs="Arial"/>
          <w:sz w:val="22"/>
          <w:szCs w:val="22"/>
          <w:lang w:val="es-MX"/>
        </w:rPr>
        <w:t>mayo</w:t>
      </w:r>
      <w:r w:rsidR="002A441F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A8064F">
        <w:rPr>
          <w:rFonts w:ascii="Arial Narrow" w:hAnsi="Arial Narrow" w:cs="Arial"/>
          <w:sz w:val="22"/>
          <w:szCs w:val="22"/>
          <w:lang w:val="es-MX"/>
        </w:rPr>
        <w:t>34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A8064F">
        <w:rPr>
          <w:rFonts w:ascii="Arial Narrow" w:hAnsi="Arial Narrow" w:cs="Arial"/>
          <w:sz w:val="22"/>
          <w:szCs w:val="22"/>
          <w:lang w:val="es-MX"/>
        </w:rPr>
        <w:t>ocho</w:t>
      </w:r>
      <w:r w:rsidR="008F62A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F62A5" w:rsidRPr="00C904E5">
        <w:rPr>
          <w:rFonts w:ascii="Arial Narrow" w:hAnsi="Arial Narrow" w:cs="Arial"/>
          <w:sz w:val="22"/>
          <w:szCs w:val="22"/>
          <w:lang w:val="es-MX"/>
        </w:rPr>
        <w:t>(</w:t>
      </w:r>
      <w:r w:rsidR="00A8064F">
        <w:rPr>
          <w:rFonts w:ascii="Arial Narrow" w:hAnsi="Arial Narrow" w:cs="Arial"/>
          <w:sz w:val="22"/>
          <w:szCs w:val="22"/>
          <w:lang w:val="es-MX"/>
        </w:rPr>
        <w:t>8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A8064F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02A96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742449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8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B2055A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3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360"/>
      </w:tblGrid>
      <w:tr w:rsidR="00E601A2" w:rsidRPr="00E601A2" w:rsidTr="00E601A2">
        <w:trPr>
          <w:trHeight w:val="12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A2" w:rsidRPr="00E601A2" w:rsidRDefault="00E601A2" w:rsidP="00E60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Radicado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A2" w:rsidRPr="00E601A2" w:rsidRDefault="00E601A2" w:rsidP="00E60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Tiempo de respuesta días calendario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20191400001087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20191400001077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17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20191400001027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20191400001067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16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20191400001047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20191400001017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20191400001307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20191400001097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25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20191400001297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601A2" w:rsidRPr="00E601A2" w:rsidTr="00E601A2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20191400001167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01A2" w:rsidRPr="00E601A2" w:rsidRDefault="00E601A2" w:rsidP="00E601A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60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</w:tr>
    </w:tbl>
    <w:p w:rsidR="003350DC" w:rsidRPr="00C904E5" w:rsidRDefault="003350DC" w:rsidP="00E601A2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tiempo promedio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de respuesta es de 8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teniendo en cuenta las solicitudes que ya han sido respondidas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. Se registra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 el periodo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34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solicitudes, de las cuale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s 3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se encuentran en trámite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respecto al tiempo de respuesta de radicado No.</w:t>
      </w:r>
      <w:r w:rsid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E02A96" w:rsidRPr="00E02A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20191400001187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,</w:t>
      </w:r>
      <w:r w:rsidR="00E02A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155B91" w:rsidRPr="00E601A2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20191400001067</w:t>
      </w:r>
      <w:r w:rsidR="00155B91" w:rsidRPr="00155B91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,</w:t>
      </w:r>
      <w:r w:rsidR="00155B91">
        <w:rPr>
          <w:rFonts w:ascii="Calibri" w:eastAsia="Times New Roman" w:hAnsi="Calibri" w:cs="Calibri"/>
          <w:color w:val="000000"/>
          <w:sz w:val="22"/>
          <w:szCs w:val="22"/>
          <w:lang w:val="es-CO" w:eastAsia="es-CO"/>
        </w:rPr>
        <w:t xml:space="preserve"> </w:t>
      </w:r>
      <w:r w:rsidR="00E02A96" w:rsidRPr="00E02A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20191400001247</w:t>
      </w:r>
      <w:r w:rsidR="00E02A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E02A96" w:rsidRPr="00E02A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20191400001177</w:t>
      </w:r>
      <w:r w:rsidR="00E02A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E02A96" w:rsidRPr="00E02A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20191400001167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se insta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a la Dirección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responsable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las explicaciones pertinentes.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8F62A5" w:rsidRDefault="008F62A5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E02A96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2F6604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7986EF1A" wp14:editId="488FB56D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Las peticion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133EB1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recibidas se refieren a los siguientes temas:</w:t>
      </w:r>
      <w:r w:rsidR="00133EB1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Información sobre cursos y convocatorias de cooperación , consulta de información sobre las dinamicas de cooperación y Registro ESAL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 </w:t>
      </w:r>
    </w:p>
    <w:p w:rsidR="002F6604" w:rsidRDefault="002F660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613498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mero de peticiones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aumento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en comparaci</w:t>
      </w:r>
      <w:r w:rsidR="00613498">
        <w:rPr>
          <w:rFonts w:ascii="Arial Narrow" w:hAnsi="Arial Narrow" w:cs="Arial"/>
          <w:noProof/>
          <w:sz w:val="22"/>
          <w:szCs w:val="22"/>
          <w:lang w:val="es-CO" w:eastAsia="es-CO"/>
        </w:rPr>
        <w:t>ó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n con las recibidas en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AA11A4">
        <w:rPr>
          <w:rFonts w:ascii="Arial Narrow" w:hAnsi="Arial Narrow" w:cs="Arial"/>
          <w:noProof/>
          <w:sz w:val="22"/>
          <w:szCs w:val="22"/>
          <w:lang w:val="es-CO" w:eastAsia="es-CO"/>
        </w:rPr>
        <w:t>cinco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</w:t>
      </w:r>
      <w:r w:rsidR="00AA11A4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5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)</w:t>
      </w:r>
      <w:r w:rsidR="008B27D8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="00133EB1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con lo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AA11A4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3D26B32E" wp14:editId="10B4BA17">
            <wp:extent cx="3505200" cy="15144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AA11A4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El 85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% de las solicitudes son recibidas mediante correo electrónico </w:t>
      </w:r>
      <w:r w:rsidR="00274047"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="00274047"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 w:rsidR="00274047"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lastRenderedPageBreak/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C904E5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8A15D2" w:rsidP="00AA11A4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78993C17" wp14:editId="3139F5C1">
            <wp:extent cx="5612130" cy="2964815"/>
            <wp:effectExtent l="0" t="0" r="7620" b="698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AA11A4">
        <w:rPr>
          <w:rFonts w:ascii="Arial Narrow" w:hAnsi="Arial Narrow" w:cs="Arial"/>
          <w:sz w:val="22"/>
          <w:szCs w:val="22"/>
          <w:lang w:val="es-MX"/>
        </w:rPr>
        <w:t xml:space="preserve"> mayo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94011E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274047">
        <w:rPr>
          <w:rFonts w:ascii="Arial Narrow" w:hAnsi="Arial Narrow" w:cs="Arial"/>
          <w:sz w:val="22"/>
          <w:szCs w:val="22"/>
          <w:lang w:val="es-MX"/>
        </w:rPr>
        <w:t>Coordinación Interinstitucional</w:t>
      </w:r>
      <w:r w:rsidR="0094011E">
        <w:rPr>
          <w:rFonts w:ascii="Arial Narrow" w:hAnsi="Arial Narrow" w:cs="Arial"/>
          <w:sz w:val="22"/>
          <w:szCs w:val="22"/>
          <w:lang w:val="es-MX"/>
        </w:rPr>
        <w:t xml:space="preserve"> de Cooperación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, atendió la </w:t>
      </w:r>
      <w:r w:rsidR="00D50FE3">
        <w:rPr>
          <w:rFonts w:ascii="Arial Narrow" w:hAnsi="Arial Narrow" w:cs="Arial"/>
          <w:sz w:val="22"/>
          <w:szCs w:val="22"/>
          <w:lang w:val="es-MX"/>
        </w:rPr>
        <w:t>mayor cantidad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de solicitudes</w:t>
      </w:r>
      <w:r w:rsidR="008A15D2">
        <w:rPr>
          <w:rFonts w:ascii="Arial Narrow" w:hAnsi="Arial Narrow" w:cs="Arial"/>
          <w:sz w:val="22"/>
          <w:szCs w:val="22"/>
          <w:lang w:val="es-MX"/>
        </w:rPr>
        <w:t>, doce (12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) en total, seguida por la Dirección de </w:t>
      </w:r>
      <w:r w:rsidR="008A15D2">
        <w:rPr>
          <w:rFonts w:ascii="Arial Narrow" w:hAnsi="Arial Narrow" w:cs="Arial"/>
          <w:sz w:val="22"/>
          <w:szCs w:val="22"/>
          <w:lang w:val="es-MX"/>
        </w:rPr>
        <w:t>Demanda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de Cooperación con</w:t>
      </w:r>
      <w:r w:rsidR="008A15D2">
        <w:rPr>
          <w:rFonts w:ascii="Arial Narrow" w:hAnsi="Arial Narrow" w:cs="Arial"/>
          <w:sz w:val="22"/>
          <w:szCs w:val="22"/>
          <w:lang w:val="es-MX"/>
        </w:rPr>
        <w:t xml:space="preserve"> diez (10</w:t>
      </w:r>
      <w:r w:rsidR="00274047">
        <w:rPr>
          <w:rFonts w:ascii="Arial Narrow" w:hAnsi="Arial Narrow" w:cs="Arial"/>
          <w:sz w:val="22"/>
          <w:szCs w:val="22"/>
          <w:lang w:val="es-MX"/>
        </w:rPr>
        <w:t>) solicitudes</w:t>
      </w:r>
      <w:r w:rsidR="008A15D2">
        <w:rPr>
          <w:rFonts w:ascii="Arial Narrow" w:hAnsi="Arial Narrow" w:cs="Arial"/>
          <w:sz w:val="22"/>
          <w:szCs w:val="22"/>
          <w:lang w:val="es-MX"/>
        </w:rPr>
        <w:t>.</w:t>
      </w:r>
    </w:p>
    <w:p w:rsidR="00EA1579" w:rsidRDefault="00EA1579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8A15D2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8A15D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 los tiempos de respuesta de conformidad a lo contemplado en  la ley 1755 de 2015</w:t>
      </w:r>
      <w:r>
        <w:rPr>
          <w:rFonts w:ascii="Arial Narrow" w:hAnsi="Arial Narrow" w:cs="Arial"/>
          <w:sz w:val="22"/>
          <w:szCs w:val="22"/>
          <w:lang w:val="es-MX"/>
        </w:rPr>
        <w:t xml:space="preserve">. A la fecha con corte 05 de julio de 2019, </w:t>
      </w:r>
      <w:r w:rsidR="00155B91">
        <w:rPr>
          <w:rFonts w:ascii="Arial Narrow" w:hAnsi="Arial Narrow" w:cs="Arial"/>
          <w:sz w:val="22"/>
          <w:szCs w:val="22"/>
          <w:lang w:val="es-MX"/>
        </w:rPr>
        <w:t>5</w:t>
      </w:r>
      <w:r>
        <w:rPr>
          <w:rFonts w:ascii="Arial Narrow" w:hAnsi="Arial Narrow" w:cs="Arial"/>
          <w:sz w:val="22"/>
          <w:szCs w:val="22"/>
          <w:lang w:val="es-MX"/>
        </w:rPr>
        <w:t xml:space="preserve"> de dichas solicitudes se </w:t>
      </w:r>
      <w:r w:rsidR="008A15D2">
        <w:rPr>
          <w:rFonts w:ascii="Arial Narrow" w:hAnsi="Arial Narrow" w:cs="Arial"/>
          <w:sz w:val="22"/>
          <w:szCs w:val="22"/>
          <w:lang w:val="es-MX"/>
        </w:rPr>
        <w:t>respondieron por fuera de los tiempos reglamentarios, se solicita a las Direcciones encargadas</w:t>
      </w:r>
      <w:r w:rsidR="00155B91">
        <w:rPr>
          <w:rFonts w:ascii="Arial Narrow" w:hAnsi="Arial Narrow" w:cs="Arial"/>
          <w:sz w:val="22"/>
          <w:szCs w:val="22"/>
          <w:lang w:val="es-MX"/>
        </w:rPr>
        <w:t>,</w:t>
      </w:r>
      <w:r w:rsidR="008A15D2">
        <w:rPr>
          <w:rFonts w:ascii="Arial Narrow" w:hAnsi="Arial Narrow" w:cs="Arial"/>
          <w:sz w:val="22"/>
          <w:szCs w:val="22"/>
          <w:lang w:val="es-MX"/>
        </w:rPr>
        <w:t xml:space="preserve"> dar cuenta de las razones por la cuales no se dio respuesta dentro de los tiempos establecidos.</w:t>
      </w:r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3E" w:rsidRDefault="00AA543E" w:rsidP="004C23A4">
      <w:r>
        <w:separator/>
      </w:r>
    </w:p>
  </w:endnote>
  <w:endnote w:type="continuationSeparator" w:id="0">
    <w:p w:rsidR="00AA543E" w:rsidRDefault="00AA543E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3E" w:rsidRDefault="00AA543E" w:rsidP="004C23A4">
      <w:r>
        <w:separator/>
      </w:r>
    </w:p>
  </w:footnote>
  <w:footnote w:type="continuationSeparator" w:id="0">
    <w:p w:rsidR="00AA543E" w:rsidRDefault="00AA543E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D7CC6"/>
    <w:rsid w:val="000F7502"/>
    <w:rsid w:val="00124A85"/>
    <w:rsid w:val="0012759C"/>
    <w:rsid w:val="00133EB1"/>
    <w:rsid w:val="001459A5"/>
    <w:rsid w:val="00147F71"/>
    <w:rsid w:val="00155B91"/>
    <w:rsid w:val="001D0569"/>
    <w:rsid w:val="00265A23"/>
    <w:rsid w:val="00274047"/>
    <w:rsid w:val="00274733"/>
    <w:rsid w:val="002A1D2C"/>
    <w:rsid w:val="002A441F"/>
    <w:rsid w:val="002E6C5A"/>
    <w:rsid w:val="002F1A85"/>
    <w:rsid w:val="002F6604"/>
    <w:rsid w:val="003173F5"/>
    <w:rsid w:val="003350DC"/>
    <w:rsid w:val="00387C6A"/>
    <w:rsid w:val="003B0FDB"/>
    <w:rsid w:val="003D7442"/>
    <w:rsid w:val="003E3F9D"/>
    <w:rsid w:val="00402655"/>
    <w:rsid w:val="00465781"/>
    <w:rsid w:val="004921D7"/>
    <w:rsid w:val="004C23A4"/>
    <w:rsid w:val="00514F4D"/>
    <w:rsid w:val="00523BE9"/>
    <w:rsid w:val="00556221"/>
    <w:rsid w:val="005E28D8"/>
    <w:rsid w:val="005E3EDA"/>
    <w:rsid w:val="00603C5F"/>
    <w:rsid w:val="00606762"/>
    <w:rsid w:val="00612121"/>
    <w:rsid w:val="00613498"/>
    <w:rsid w:val="00632D79"/>
    <w:rsid w:val="00640A54"/>
    <w:rsid w:val="00641684"/>
    <w:rsid w:val="00641889"/>
    <w:rsid w:val="00645E96"/>
    <w:rsid w:val="00670F1F"/>
    <w:rsid w:val="0069432A"/>
    <w:rsid w:val="006A1403"/>
    <w:rsid w:val="006A7373"/>
    <w:rsid w:val="006F6AAF"/>
    <w:rsid w:val="00723574"/>
    <w:rsid w:val="00742449"/>
    <w:rsid w:val="00746DA2"/>
    <w:rsid w:val="007803E9"/>
    <w:rsid w:val="00793AA6"/>
    <w:rsid w:val="007B1604"/>
    <w:rsid w:val="007C4C7A"/>
    <w:rsid w:val="007D2C25"/>
    <w:rsid w:val="007D653F"/>
    <w:rsid w:val="007F4B26"/>
    <w:rsid w:val="007F4E97"/>
    <w:rsid w:val="008452EC"/>
    <w:rsid w:val="00854882"/>
    <w:rsid w:val="008832C8"/>
    <w:rsid w:val="008A15D2"/>
    <w:rsid w:val="008B27D8"/>
    <w:rsid w:val="008C5AEC"/>
    <w:rsid w:val="008D023C"/>
    <w:rsid w:val="008E357B"/>
    <w:rsid w:val="008E730D"/>
    <w:rsid w:val="008F62A5"/>
    <w:rsid w:val="00902087"/>
    <w:rsid w:val="0094011E"/>
    <w:rsid w:val="00986B67"/>
    <w:rsid w:val="009B52F2"/>
    <w:rsid w:val="009D244A"/>
    <w:rsid w:val="009D7412"/>
    <w:rsid w:val="009F0AD8"/>
    <w:rsid w:val="00A04F5F"/>
    <w:rsid w:val="00A142F1"/>
    <w:rsid w:val="00A424FC"/>
    <w:rsid w:val="00A66A62"/>
    <w:rsid w:val="00A8064F"/>
    <w:rsid w:val="00AA11A4"/>
    <w:rsid w:val="00AA543E"/>
    <w:rsid w:val="00AD465A"/>
    <w:rsid w:val="00AF7FDC"/>
    <w:rsid w:val="00B0122D"/>
    <w:rsid w:val="00B2055A"/>
    <w:rsid w:val="00B25166"/>
    <w:rsid w:val="00B3722C"/>
    <w:rsid w:val="00B83514"/>
    <w:rsid w:val="00B935E9"/>
    <w:rsid w:val="00BB033D"/>
    <w:rsid w:val="00BC271A"/>
    <w:rsid w:val="00BD522E"/>
    <w:rsid w:val="00BE10C8"/>
    <w:rsid w:val="00C51C65"/>
    <w:rsid w:val="00C66D46"/>
    <w:rsid w:val="00C904E5"/>
    <w:rsid w:val="00CE4C03"/>
    <w:rsid w:val="00CF6865"/>
    <w:rsid w:val="00D50FE3"/>
    <w:rsid w:val="00D548B7"/>
    <w:rsid w:val="00D94667"/>
    <w:rsid w:val="00DB0D68"/>
    <w:rsid w:val="00E02A96"/>
    <w:rsid w:val="00E25863"/>
    <w:rsid w:val="00E31BF8"/>
    <w:rsid w:val="00E37FD4"/>
    <w:rsid w:val="00E601A2"/>
    <w:rsid w:val="00E80EE5"/>
    <w:rsid w:val="00EA1579"/>
    <w:rsid w:val="00EA5649"/>
    <w:rsid w:val="00EF6FB9"/>
    <w:rsid w:val="00F13FE4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detalle%20(2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detalle%20(2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8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[pqr-reporte-detalle (25).xlsx]Hoja3!TablaDinámica5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1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Hoja3!$B$3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53A-489A-9F57-A4451FEA07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53A-489A-9F57-A4451FEA07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53A-489A-9F57-A4451FEA07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53A-489A-9F57-A4451FEA07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53A-489A-9F57-A4451FEA071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53A-489A-9F57-A4451FEA071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53A-489A-9F57-A4451FEA07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Hoja3!$A$4:$A$11</c:f>
              <c:strCache>
                <c:ptCount val="7"/>
                <c:pt idx="0">
                  <c:v> DE INFORMACIÓN</c:v>
                </c:pt>
                <c:pt idx="1">
                  <c:v>DE CONSULTA</c:v>
                </c:pt>
                <c:pt idx="2">
                  <c:v>DE ENTES DE CONTROL</c:v>
                </c:pt>
                <c:pt idx="3">
                  <c:v>DE ENTIDADES PÚBLICAS</c:v>
                </c:pt>
                <c:pt idx="4">
                  <c:v>DE INFORMACIÓN</c:v>
                </c:pt>
                <c:pt idx="5">
                  <c:v>DE PETICION</c:v>
                </c:pt>
                <c:pt idx="6">
                  <c:v>DE SUGERENCIA</c:v>
                </c:pt>
              </c:strCache>
            </c:strRef>
          </c:cat>
          <c:val>
            <c:numRef>
              <c:f>Hoja3!$B$4:$B$11</c:f>
              <c:numCache>
                <c:formatCode>General</c:formatCode>
                <c:ptCount val="7"/>
                <c:pt idx="0">
                  <c:v>1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53A-489A-9F57-A4451FEA071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[pqr-reporte-detalle (25).xlsx]Hoja3 (2)!TablaDinámica5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1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'Hoja3 (2)'!$B$3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AC-4BC9-AAC1-732B5BD394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CAC-4BC9-AAC1-732B5BD394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CAC-4BC9-AAC1-732B5BD394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CAC-4BC9-AAC1-732B5BD394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CAC-4BC9-AAC1-732B5BD3942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CAC-4BC9-AAC1-732B5BD3942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CAC-4BC9-AAC1-732B5BD394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'Hoja3 (2)'!$A$4:$A$6</c:f>
              <c:strCache>
                <c:ptCount val="2"/>
                <c:pt idx="0">
                  <c:v>Correo</c:v>
                </c:pt>
                <c:pt idx="1">
                  <c:v>Internet</c:v>
                </c:pt>
              </c:strCache>
            </c:strRef>
          </c:cat>
          <c:val>
            <c:numRef>
              <c:f>'Hoja3 (2)'!$B$4:$B$6</c:f>
              <c:numCache>
                <c:formatCode>General</c:formatCode>
                <c:ptCount val="2"/>
                <c:pt idx="0">
                  <c:v>29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CAC-4BC9-AAC1-732B5BD3942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7C-4175-A78F-E36D3CA2ED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7C-4175-A78F-E36D3CA2ED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7C-4175-A78F-E36D3CA2ED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17C-4175-A78F-E36D3CA2ED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17C-4175-A78F-E36D3CA2ED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17C-4175-A78F-E36D3CA2ED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17C-4175-A78F-E36D3CA2ED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(8).xlsx]Consolidado Dependencia'!$A$4:$A$10</c:f>
              <c:strCache>
                <c:ptCount val="7"/>
                <c:pt idx="0">
                  <c:v>DIRECCION GENERAL</c:v>
                </c:pt>
                <c:pt idx="1">
                  <c:v>DIRECCION DE DEMANDA</c:v>
                </c:pt>
                <c:pt idx="2">
                  <c:v>DIRECCION DE OFERTA</c:v>
                </c:pt>
                <c:pt idx="3">
                  <c:v>OFICINA ASESORA JURIDICA</c:v>
                </c:pt>
                <c:pt idx="4">
                  <c:v>PETICIONES, QUEJAS Y RECLAMOS</c:v>
                </c:pt>
                <c:pt idx="5">
                  <c:v>DIRECCION DE COORDINACION INTERINSTITUCIONAL</c:v>
                </c:pt>
                <c:pt idx="6">
                  <c:v>DIRECCION ADMINISTRATIVA Y FINANCIERA</c:v>
                </c:pt>
              </c:strCache>
            </c:strRef>
          </c:cat>
          <c:val>
            <c:numRef>
              <c:f>'[pqr-reporte-consolidado (8).xlsx]Consolidado Dependencia'!$B$4:$B$10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12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17C-4175-A78F-E36D3CA2ED8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2</cp:revision>
  <dcterms:created xsi:type="dcterms:W3CDTF">2019-07-08T11:55:00Z</dcterms:created>
  <dcterms:modified xsi:type="dcterms:W3CDTF">2019-07-08T11:55:00Z</dcterms:modified>
</cp:coreProperties>
</file>