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bookmarkStart w:id="0" w:name="_GoBack"/>
      <w:bookmarkEnd w:id="0"/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603C5F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INFORME PQRSD MENSUAL JUL</w:t>
      </w:r>
      <w:r w:rsidR="004C23A4" w:rsidRPr="00C904E5">
        <w:rPr>
          <w:rFonts w:ascii="Arial Narrow" w:hAnsi="Arial Narrow" w:cs="Arial"/>
          <w:b/>
          <w:sz w:val="22"/>
          <w:szCs w:val="22"/>
          <w:lang w:val="es-MX"/>
        </w:rPr>
        <w:t>IO DE 2018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Revisión de datos generales relacionados con Peticiones, Quejas, Reclamos y Sugerencias (PQRSD), recibidas en el mes de ju</w:t>
      </w:r>
      <w:r w:rsidR="00603C5F">
        <w:rPr>
          <w:rFonts w:ascii="Arial Narrow" w:hAnsi="Arial Narrow" w:cs="Arial"/>
          <w:b/>
          <w:sz w:val="22"/>
          <w:szCs w:val="22"/>
          <w:lang w:val="es-MX"/>
        </w:rPr>
        <w:t>l</w:t>
      </w:r>
      <w:r w:rsidRPr="00C904E5">
        <w:rPr>
          <w:rFonts w:ascii="Arial Narrow" w:hAnsi="Arial Narrow" w:cs="Arial"/>
          <w:b/>
          <w:sz w:val="22"/>
          <w:szCs w:val="22"/>
          <w:lang w:val="es-MX"/>
        </w:rPr>
        <w:t>io de 2018.</w:t>
      </w:r>
    </w:p>
    <w:p w:rsidR="004C23A4" w:rsidRPr="00C904E5" w:rsidRDefault="004C23A4" w:rsidP="004C23A4">
      <w:pPr>
        <w:ind w:left="284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603C5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>Durante el mes de jul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io de 2018, se recibieron un total de </w:t>
      </w:r>
      <w:r>
        <w:rPr>
          <w:rFonts w:ascii="Arial Narrow" w:hAnsi="Arial Narrow" w:cs="Arial"/>
          <w:sz w:val="22"/>
          <w:szCs w:val="22"/>
          <w:lang w:val="es-MX"/>
        </w:rPr>
        <w:t>39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peticiones, con un promedio de respuesta igual a </w:t>
      </w:r>
      <w:r w:rsidR="00EA5649">
        <w:rPr>
          <w:rFonts w:ascii="Arial Narrow" w:hAnsi="Arial Narrow" w:cs="Arial"/>
          <w:sz w:val="22"/>
          <w:szCs w:val="22"/>
          <w:lang w:val="es-MX"/>
        </w:rPr>
        <w:t>siete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(</w:t>
      </w:r>
      <w:r w:rsidR="00EA5649">
        <w:rPr>
          <w:rFonts w:ascii="Arial Narrow" w:hAnsi="Arial Narrow" w:cs="Arial"/>
          <w:sz w:val="22"/>
          <w:szCs w:val="22"/>
          <w:lang w:val="es-MX"/>
        </w:rPr>
        <w:t>7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) días. </w:t>
      </w:r>
    </w:p>
    <w:p w:rsidR="004C23A4" w:rsidRPr="00C904E5" w:rsidRDefault="004C23A4" w:rsidP="004C23A4">
      <w:pPr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4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059"/>
      </w:tblGrid>
      <w:tr w:rsidR="004C23A4" w:rsidRPr="00C904E5" w:rsidTr="0026332D">
        <w:trPr>
          <w:trHeight w:val="36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CONSOLIDADO GENERAL</w:t>
            </w:r>
          </w:p>
        </w:tc>
      </w:tr>
      <w:tr w:rsidR="004C23A4" w:rsidRPr="00C904E5" w:rsidTr="0026332D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603C5F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39</w:t>
            </w:r>
          </w:p>
        </w:tc>
      </w:tr>
      <w:tr w:rsidR="004C23A4" w:rsidRPr="00C904E5" w:rsidTr="0026332D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FC103C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="00FC103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7</w:t>
            </w: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Días</w:t>
            </w:r>
          </w:p>
        </w:tc>
      </w:tr>
    </w:tbl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Tiempo de respuesta por petición</w:t>
      </w:r>
    </w:p>
    <w:p w:rsidR="004C23A4" w:rsidRPr="00C904E5" w:rsidRDefault="004C23A4" w:rsidP="004C23A4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tbl>
      <w:tblPr>
        <w:tblW w:w="8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6"/>
        <w:gridCol w:w="3328"/>
      </w:tblGrid>
      <w:tr w:rsidR="008452EC" w:rsidRPr="008452EC" w:rsidTr="008452EC">
        <w:trPr>
          <w:trHeight w:val="97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20181400003107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20181400003117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20181400003307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20181400003137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20181400003007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12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20181400003237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D548B7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20181400003217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20181400003167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13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20181400003067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20181400003187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20181400003207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20181400002987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20181400003277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20181400003097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20181400003027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20181400003197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3D7442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3D7442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20181400002997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9D7412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3D7442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3D7442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20181400003267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3D7442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3D7442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20181400003257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13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3D7442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3D7442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20181400003087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3D7442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3D7442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20181400002957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3D7442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3D7442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20181400003037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9D7412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3D7442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3D7442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20181400003227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3D7442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3D7442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20181400003127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3D7442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3D7442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20181400003297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12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3D7442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3D7442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20181400003147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A142F1" w:rsidP="009D7412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  <w:r w:rsidR="009D7412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20181400003157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20181400003177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20181400002977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20181400002967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20181400002947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20181400002937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20181400003077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20181400003057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20181400003047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20181400003017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20181400003317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3E3F9D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20181400003247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14</w:t>
            </w:r>
          </w:p>
        </w:tc>
      </w:tr>
      <w:tr w:rsidR="008452EC" w:rsidRPr="008452EC" w:rsidTr="008452EC">
        <w:trPr>
          <w:trHeight w:val="26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20181400003287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8452EC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  <w:t>13</w:t>
            </w:r>
          </w:p>
        </w:tc>
      </w:tr>
    </w:tbl>
    <w:p w:rsidR="008452EC" w:rsidRDefault="008452E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274733" w:rsidRPr="00C904E5" w:rsidRDefault="00274733" w:rsidP="00274733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CO" w:eastAsia="es-CO"/>
        </w:rPr>
      </w:pP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E</w:t>
      </w:r>
      <w:r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n el análisis de este informe se debe tener en cuenta que </w:t>
      </w: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el sistema de Orfeo, por error</w:t>
      </w:r>
      <w:r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,</w:t>
      </w: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parametrizó las respuestas en días calendario, por tal motivo se observan que las peticiones identificadas con los radicados </w:t>
      </w:r>
      <w:r w:rsidR="00A142F1" w:rsidRPr="008452EC">
        <w:rPr>
          <w:rFonts w:ascii="Arial Narrow" w:eastAsia="Times New Roman" w:hAnsi="Arial Narrow" w:cs="Times New Roman"/>
          <w:bCs/>
          <w:color w:val="000000"/>
          <w:sz w:val="22"/>
          <w:szCs w:val="22"/>
          <w:lang w:val="es-CO" w:eastAsia="es-CO"/>
        </w:rPr>
        <w:t>20181400002997</w:t>
      </w:r>
      <w:r w:rsidR="00A142F1">
        <w:rPr>
          <w:rFonts w:ascii="Arial Narrow" w:hAnsi="Arial Narrow" w:cs="Arial"/>
          <w:noProof/>
          <w:sz w:val="22"/>
          <w:szCs w:val="22"/>
          <w:lang w:val="es-CO" w:eastAsia="es-CO"/>
        </w:rPr>
        <w:t>,</w:t>
      </w:r>
      <w:r w:rsidR="00A142F1" w:rsidRPr="008452EC">
        <w:rPr>
          <w:rFonts w:ascii="Arial Narrow" w:eastAsia="Times New Roman" w:hAnsi="Arial Narrow" w:cs="Times New Roman"/>
          <w:bCs/>
          <w:color w:val="000000"/>
          <w:sz w:val="22"/>
          <w:szCs w:val="22"/>
          <w:lang w:val="es-CO" w:eastAsia="es-CO"/>
        </w:rPr>
        <w:t>20181400003037</w:t>
      </w:r>
      <w:r w:rsidR="00A142F1">
        <w:rPr>
          <w:rFonts w:ascii="Arial Narrow" w:eastAsia="Times New Roman" w:hAnsi="Arial Narrow" w:cs="Times New Roman"/>
          <w:bCs/>
          <w:color w:val="000000"/>
          <w:sz w:val="22"/>
          <w:szCs w:val="22"/>
          <w:lang w:val="es-CO" w:eastAsia="es-CO"/>
        </w:rPr>
        <w:t xml:space="preserve">, </w:t>
      </w:r>
      <w:r w:rsidR="00A142F1" w:rsidRPr="008452EC">
        <w:rPr>
          <w:rFonts w:ascii="Arial Narrow" w:eastAsia="Times New Roman" w:hAnsi="Arial Narrow" w:cs="Times New Roman"/>
          <w:bCs/>
          <w:color w:val="000000"/>
          <w:sz w:val="22"/>
          <w:szCs w:val="22"/>
          <w:lang w:val="es-CO" w:eastAsia="es-CO"/>
        </w:rPr>
        <w:t>20181400003147</w:t>
      </w:r>
      <w:r w:rsidR="00A142F1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,</w:t>
      </w:r>
      <w:r w:rsidR="00FC103C" w:rsidRPr="00FC103C">
        <w:rPr>
          <w:rFonts w:ascii="Arial Narrow" w:eastAsia="Times New Roman" w:hAnsi="Arial Narrow" w:cs="Times New Roman"/>
          <w:bCs/>
          <w:color w:val="000000"/>
          <w:sz w:val="22"/>
          <w:szCs w:val="22"/>
          <w:lang w:val="es-CO" w:eastAsia="es-CO"/>
        </w:rPr>
        <w:t xml:space="preserve"> 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se visualizan en la plataforma con un número 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de respuesta 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superior en días, sin embargo l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os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oficio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que contiene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la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respuesta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s,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están elaborados y enviados dentro de los términos establecidos en la Ley.</w:t>
      </w:r>
    </w:p>
    <w:p w:rsidR="00274733" w:rsidRPr="00C904E5" w:rsidRDefault="00274733" w:rsidP="00274733">
      <w:pPr>
        <w:jc w:val="both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s-CO" w:eastAsia="es-CO"/>
        </w:rPr>
      </w:pPr>
    </w:p>
    <w:p w:rsidR="008452EC" w:rsidRDefault="008452E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Análisis por tipo de petición según tipo de solicitud.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402655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  <w:r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drawing>
          <wp:inline distT="0" distB="0" distL="0" distR="0" wp14:anchorId="1BCF7DD6" wp14:editId="021B2F92">
            <wp:extent cx="5612130" cy="24250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2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D548B7" w:rsidRDefault="00D548B7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D548B7" w:rsidRDefault="00D548B7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Las peticiones mas recibidas se refieren a la solicitud para apoyo a proyectos de cooperación internacional y registro de los recursos de acuerdo a la normatividad aplicable a las ESAL.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El numero de peticiones disminuyó en comparacion con las recibidas en el mes anterior.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3E3F9D" w:rsidRDefault="003E3F9D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3E3F9D" w:rsidRDefault="003E3F9D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3E3F9D" w:rsidRDefault="003E3F9D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este mes no se presentaron quejas, a ninguna de las peticiones se le negó el acceso a la información y de las peticiones recibidas, una (1) se trasladó por competencia de conformidad </w:t>
      </w:r>
      <w:r w:rsidRPr="00C904E5">
        <w:rPr>
          <w:rFonts w:ascii="Arial Narrow" w:eastAsia="Arial" w:hAnsi="Arial Narrow"/>
          <w:sz w:val="22"/>
          <w:szCs w:val="22"/>
        </w:rPr>
        <w:t>establecido en el artículo 21 de CPACA- ley 1437 de 2011, modificado por el artículo 1° de la Ley 1755 de 2015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Durante el mes </w:t>
      </w:r>
      <w:r w:rsidR="00DB0D68">
        <w:rPr>
          <w:rFonts w:ascii="Arial Narrow" w:hAnsi="Arial Narrow" w:cs="Arial"/>
          <w:noProof/>
          <w:sz w:val="22"/>
          <w:szCs w:val="22"/>
          <w:lang w:val="es-CO" w:eastAsia="es-CO"/>
        </w:rPr>
        <w:t>una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(</w:t>
      </w:r>
      <w:r w:rsidR="00DB0D68">
        <w:rPr>
          <w:rFonts w:ascii="Arial Narrow" w:hAnsi="Arial Narrow" w:cs="Arial"/>
          <w:noProof/>
          <w:sz w:val="22"/>
          <w:szCs w:val="22"/>
          <w:lang w:val="es-CO" w:eastAsia="es-CO"/>
        </w:rPr>
        <w:t>1) solicitud externa para emitir un concepto  sobre la expedicion de los certificados de utilidad común.</w:t>
      </w:r>
    </w:p>
    <w:p w:rsidR="003173F5" w:rsidRDefault="003173F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02655" w:rsidRDefault="0040265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Medios utilizados para radicar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02655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  <w:r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  <w:drawing>
          <wp:inline distT="0" distB="0" distL="0" distR="0" wp14:anchorId="05C4F227" wp14:editId="6F8A7711">
            <wp:extent cx="5610225" cy="232918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  <w:r w:rsidRPr="00C904E5">
        <w:rPr>
          <w:rFonts w:ascii="Arial Narrow" w:hAnsi="Arial Narrow"/>
          <w:noProof/>
          <w:sz w:val="22"/>
          <w:szCs w:val="22"/>
          <w:highlight w:val="yellow"/>
          <w:lang w:val="es-CO" w:eastAsia="es-CO"/>
        </w:rPr>
        <w:t xml:space="preserve"> </w:t>
      </w:r>
    </w:p>
    <w:p w:rsidR="004C23A4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Se revisaron los reportes de medios utilizados para radicar las solicitudes, y encontramos que las recibidas por e-mail, equivalen al </w:t>
      </w:r>
      <w:r w:rsidR="003173F5">
        <w:rPr>
          <w:rFonts w:ascii="Arial Narrow" w:hAnsi="Arial Narrow" w:cs="Arial"/>
          <w:sz w:val="22"/>
          <w:szCs w:val="22"/>
          <w:lang w:val="es-MX"/>
        </w:rPr>
        <w:t>64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% del total de las peticiones recibidas. </w:t>
      </w:r>
    </w:p>
    <w:p w:rsidR="00DB0D68" w:rsidRDefault="00DB0D68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Análisis por dependencia que atiende PQRSD</w:t>
      </w:r>
    </w:p>
    <w:p w:rsidR="00D548B7" w:rsidRDefault="00D548B7" w:rsidP="00D548B7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D548B7" w:rsidRDefault="00D548B7" w:rsidP="00D548B7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C904E5" w:rsidRDefault="00DB0D68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2520CE69" wp14:editId="6CB90A8A">
            <wp:extent cx="5648325" cy="2362200"/>
            <wp:effectExtent l="0" t="1905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2E6C5A" w:rsidRDefault="002E6C5A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En el mes de ju</w:t>
      </w:r>
      <w:r w:rsidR="003173F5">
        <w:rPr>
          <w:rFonts w:ascii="Arial Narrow" w:hAnsi="Arial Narrow" w:cs="Arial"/>
          <w:sz w:val="22"/>
          <w:szCs w:val="22"/>
          <w:lang w:val="es-MX"/>
        </w:rPr>
        <w:t>l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io de 2018, la Dirección de Coordinación Interinstitucional atendió un mayor número de peticiones, y el motivo de consulta versa sobre información acerca de postulación </w:t>
      </w:r>
      <w:r w:rsidR="002E6C5A">
        <w:rPr>
          <w:rFonts w:ascii="Arial Narrow" w:hAnsi="Arial Narrow" w:cs="Arial"/>
          <w:sz w:val="22"/>
          <w:szCs w:val="22"/>
          <w:lang w:val="es-MX"/>
        </w:rPr>
        <w:t>y financiamiento para proyectos y cursos</w:t>
      </w:r>
      <w:r w:rsidR="003173F5">
        <w:rPr>
          <w:rFonts w:ascii="Arial Narrow" w:hAnsi="Arial Narrow" w:cs="Arial"/>
          <w:sz w:val="22"/>
          <w:szCs w:val="22"/>
          <w:lang w:val="es-MX"/>
        </w:rPr>
        <w:t xml:space="preserve">, 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en segundo lugar, corresponde a la Oficina Asesora Jurídica, los temas de consulta refieren al registro ante la entidad de los recursos cooperación internacional no reembolsable que reciben las ESAL</w:t>
      </w:r>
      <w:r w:rsidR="003173F5">
        <w:rPr>
          <w:rFonts w:ascii="Arial Narrow" w:hAnsi="Arial Narrow" w:cs="Arial"/>
          <w:sz w:val="22"/>
          <w:szCs w:val="22"/>
          <w:lang w:val="es-MX"/>
        </w:rPr>
        <w:t xml:space="preserve"> y</w:t>
      </w:r>
      <w:r w:rsidRPr="00C904E5">
        <w:rPr>
          <w:rFonts w:ascii="Arial Narrow" w:eastAsia="Arial" w:hAnsi="Arial Narrow"/>
          <w:sz w:val="22"/>
          <w:szCs w:val="22"/>
        </w:rPr>
        <w:t xml:space="preserve">, </w:t>
      </w:r>
      <w:r w:rsidRPr="00C904E5">
        <w:rPr>
          <w:rFonts w:ascii="Arial Narrow" w:hAnsi="Arial Narrow" w:cs="Arial"/>
          <w:sz w:val="22"/>
          <w:szCs w:val="22"/>
          <w:lang w:val="es-MX"/>
        </w:rPr>
        <w:t>las demás direcciones tuvieron bajo porcentaje de solicitudes.</w:t>
      </w:r>
    </w:p>
    <w:p w:rsidR="004C23A4" w:rsidRPr="00C904E5" w:rsidRDefault="004C23A4" w:rsidP="004C23A4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CONCLUSIÓN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Como conclusión del análisis de información, es preciso señalar que el financiamiento para proyectos y registro de recursos de cooperación internacional siguen siendo un asunto que requirió de gran atención por parte de los funcionarios encargados del asunto.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Los medios de recepción virtuales (e-mail) siguen siendo el medio más utilizados por los usuarios.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F934ED" w:rsidRPr="00C904E5" w:rsidRDefault="004C23A4" w:rsidP="004C23A4">
      <w:pPr>
        <w:rPr>
          <w:rFonts w:ascii="Arial Narrow" w:hAnsi="Arial Narrow"/>
          <w:sz w:val="22"/>
          <w:szCs w:val="22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Finalmente se resalta que se cumplen los tiempos de respuesta de conformidad a lo contemplado en  la ley 1755 de 2015.</w:t>
      </w:r>
      <w:r w:rsidR="00402655" w:rsidRPr="0040265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</w:t>
      </w:r>
    </w:p>
    <w:sectPr w:rsidR="00F934ED" w:rsidRPr="00C904E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5D" w:rsidRDefault="00780D5D" w:rsidP="004C23A4">
      <w:r>
        <w:separator/>
      </w:r>
    </w:p>
  </w:endnote>
  <w:endnote w:type="continuationSeparator" w:id="0">
    <w:p w:rsidR="00780D5D" w:rsidRDefault="00780D5D" w:rsidP="004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5D" w:rsidRDefault="00780D5D" w:rsidP="004C23A4">
      <w:r>
        <w:separator/>
      </w:r>
    </w:p>
  </w:footnote>
  <w:footnote w:type="continuationSeparator" w:id="0">
    <w:p w:rsidR="00780D5D" w:rsidRDefault="00780D5D" w:rsidP="004C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3A4" w:rsidRDefault="004C23A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A5C626C" wp14:editId="5538A4B9">
          <wp:simplePos x="0" y="0"/>
          <wp:positionH relativeFrom="column">
            <wp:posOffset>-1025719</wp:posOffset>
          </wp:positionH>
          <wp:positionV relativeFrom="paragraph">
            <wp:posOffset>-509519</wp:posOffset>
          </wp:positionV>
          <wp:extent cx="7772400" cy="1377232"/>
          <wp:effectExtent l="0" t="0" r="0" b="0"/>
          <wp:wrapNone/>
          <wp:docPr id="7" name="Imagen 4" descr="Macintosh HD:Users:dcastrillon:Documents:Logotipo APC-2017:Piezas:Hoja Carta:2:Formato-hoja-cart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castrillon:Documents:Logotipo APC-2017:Piezas:Hoja Carta:2:Formato-hoja-cart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050D12"/>
    <w:rsid w:val="00073AAA"/>
    <w:rsid w:val="000947DB"/>
    <w:rsid w:val="000F7502"/>
    <w:rsid w:val="00274733"/>
    <w:rsid w:val="002E6C5A"/>
    <w:rsid w:val="003173F5"/>
    <w:rsid w:val="003D7442"/>
    <w:rsid w:val="003E3F9D"/>
    <w:rsid w:val="00402655"/>
    <w:rsid w:val="004C23A4"/>
    <w:rsid w:val="00514F4D"/>
    <w:rsid w:val="00523BE9"/>
    <w:rsid w:val="00603C5F"/>
    <w:rsid w:val="00612121"/>
    <w:rsid w:val="00641684"/>
    <w:rsid w:val="00670F1F"/>
    <w:rsid w:val="00723574"/>
    <w:rsid w:val="00780D5D"/>
    <w:rsid w:val="007C4C7A"/>
    <w:rsid w:val="008452EC"/>
    <w:rsid w:val="008832C8"/>
    <w:rsid w:val="008E730D"/>
    <w:rsid w:val="00902087"/>
    <w:rsid w:val="009D244A"/>
    <w:rsid w:val="009D7412"/>
    <w:rsid w:val="009F0AD8"/>
    <w:rsid w:val="00A142F1"/>
    <w:rsid w:val="00A66A62"/>
    <w:rsid w:val="00AD465A"/>
    <w:rsid w:val="00AF7FDC"/>
    <w:rsid w:val="00B3722C"/>
    <w:rsid w:val="00BC271A"/>
    <w:rsid w:val="00BE10C8"/>
    <w:rsid w:val="00C904E5"/>
    <w:rsid w:val="00C93C97"/>
    <w:rsid w:val="00CF6865"/>
    <w:rsid w:val="00D548B7"/>
    <w:rsid w:val="00D5530D"/>
    <w:rsid w:val="00DB0D68"/>
    <w:rsid w:val="00E37FD4"/>
    <w:rsid w:val="00E80EE5"/>
    <w:rsid w:val="00EA5649"/>
    <w:rsid w:val="00EF6FB9"/>
    <w:rsid w:val="00F934ED"/>
    <w:rsid w:val="00FB6305"/>
    <w:rsid w:val="00FC103C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3C5285-2566-402F-AA40-424FC56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C23A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3A4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6.5577536879912173E-3"/>
          <c:w val="1"/>
          <c:h val="0.71161609552386795"/>
        </c:manualLayout>
      </c:layout>
      <c:pie3DChart>
        <c:varyColors val="1"/>
        <c:ser>
          <c:idx val="0"/>
          <c:order val="0"/>
          <c:tx>
            <c:strRef>
              <c:f>'C:\Users\dianaperez\Desktop\DIANA\INFORMES\2018\DIANA\PQR\MAYO\[INFORME CUANTITATIVO A 31 DE MAYO.xlsx]Consolidado Dependencia'!$B$3</c:f>
              <c:strCache>
                <c:ptCount val="1"/>
                <c:pt idx="0">
                  <c:v>Cantidad de solicitudes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EC3C-4878-B33F-D26DF15F2D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EC3C-4878-B33F-D26DF15F2D2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EC3C-4878-B33F-D26DF15F2D2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EC3C-4878-B33F-D26DF15F2D2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EC3C-4878-B33F-D26DF15F2D2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EC3C-4878-B33F-D26DF15F2D2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'[1]Consolidado Dependencia'!$A$4:$A$9</c:f>
              <c:strCache>
                <c:ptCount val="6"/>
                <c:pt idx="0">
                  <c:v>DIRECCION DE DEMANDA</c:v>
                </c:pt>
                <c:pt idx="1">
                  <c:v>DIRECCION DE OFERTA</c:v>
                </c:pt>
                <c:pt idx="2">
                  <c:v>OFICINA ASESORA JURIDICA</c:v>
                </c:pt>
                <c:pt idx="3">
                  <c:v>DIRECCION DE COORDINACION INTERINSTITUCIONAL</c:v>
                </c:pt>
                <c:pt idx="4">
                  <c:v>DIRECCION ADMINISTRATIVA Y FINANCIERA</c:v>
                </c:pt>
                <c:pt idx="5">
                  <c:v>DIRECCION GENERAL</c:v>
                </c:pt>
              </c:strCache>
            </c:strRef>
          </c:cat>
          <c:val>
            <c:numRef>
              <c:f>'[1]Consolidado Dependencia'!$B$4:$B$9</c:f>
              <c:numCache>
                <c:formatCode>General</c:formatCode>
                <c:ptCount val="6"/>
                <c:pt idx="0">
                  <c:v>6</c:v>
                </c:pt>
                <c:pt idx="1">
                  <c:v>1</c:v>
                </c:pt>
                <c:pt idx="2">
                  <c:v>11</c:v>
                </c:pt>
                <c:pt idx="3">
                  <c:v>21</c:v>
                </c:pt>
                <c:pt idx="4">
                  <c:v>9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C3C-4878-B33F-D26DF15F2D2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823272090988621E-2"/>
          <c:y val="0.72663696814413192"/>
          <c:w val="0.93202012248468946"/>
          <c:h val="0.2733630318558680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Perez Barraza</dc:creator>
  <cp:keywords/>
  <dc:description/>
  <cp:lastModifiedBy>Lina Maria Avila Avila</cp:lastModifiedBy>
  <cp:revision>2</cp:revision>
  <dcterms:created xsi:type="dcterms:W3CDTF">2018-08-13T22:18:00Z</dcterms:created>
  <dcterms:modified xsi:type="dcterms:W3CDTF">2018-08-13T22:18:00Z</dcterms:modified>
</cp:coreProperties>
</file>