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FE2FE0">
        <w:rPr>
          <w:rFonts w:ascii="Arial Narrow" w:hAnsi="Arial Narrow" w:cs="Arial"/>
          <w:b/>
          <w:sz w:val="22"/>
          <w:szCs w:val="22"/>
          <w:lang w:val="es-MX"/>
        </w:rPr>
        <w:t>JUL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IO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717269">
        <w:rPr>
          <w:rFonts w:ascii="Arial Narrow" w:hAnsi="Arial Narrow" w:cs="Arial"/>
          <w:b/>
          <w:sz w:val="22"/>
          <w:szCs w:val="22"/>
          <w:lang w:val="es-MX"/>
        </w:rPr>
        <w:t>julio</w:t>
      </w:r>
      <w:r w:rsidR="00F23806">
        <w:rPr>
          <w:rFonts w:ascii="Arial Narrow" w:hAnsi="Arial Narrow" w:cs="Arial"/>
          <w:b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717269">
        <w:rPr>
          <w:rFonts w:ascii="Arial Narrow" w:hAnsi="Arial Narrow" w:cs="Arial"/>
          <w:sz w:val="22"/>
          <w:szCs w:val="22"/>
          <w:lang w:val="es-MX"/>
        </w:rPr>
        <w:t>jul</w:t>
      </w:r>
      <w:r w:rsidR="002A441F">
        <w:rPr>
          <w:rFonts w:ascii="Arial Narrow" w:hAnsi="Arial Narrow" w:cs="Arial"/>
          <w:sz w:val="22"/>
          <w:szCs w:val="22"/>
          <w:lang w:val="es-MX"/>
        </w:rPr>
        <w:t>io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717269">
        <w:rPr>
          <w:rFonts w:ascii="Arial Narrow" w:hAnsi="Arial Narrow" w:cs="Arial"/>
          <w:sz w:val="22"/>
          <w:szCs w:val="22"/>
          <w:lang w:val="es-MX"/>
        </w:rPr>
        <w:t>22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607D51">
        <w:rPr>
          <w:rFonts w:ascii="Arial Narrow" w:hAnsi="Arial Narrow" w:cs="Arial"/>
          <w:sz w:val="22"/>
          <w:szCs w:val="22"/>
          <w:lang w:val="es-MX"/>
        </w:rPr>
        <w:t>ocho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B75419">
        <w:rPr>
          <w:rFonts w:ascii="Arial Narrow" w:hAnsi="Arial Narrow" w:cs="Arial"/>
          <w:sz w:val="22"/>
          <w:szCs w:val="22"/>
          <w:lang w:val="es-MX"/>
        </w:rPr>
        <w:t>10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F23806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FE2FE0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B75419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FE2FE0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 xml:space="preserve">Nota: Se excluye del análisis los radicados en trámite y el radicado </w:t>
      </w:r>
      <w:r w:rsidRPr="00FE2FE0">
        <w:rPr>
          <w:rFonts w:ascii="Arial Narrow" w:hAnsi="Arial Narrow" w:cs="Arial"/>
          <w:b/>
          <w:sz w:val="22"/>
          <w:szCs w:val="22"/>
          <w:lang w:val="es-MX"/>
        </w:rPr>
        <w:t>20191400001617</w:t>
      </w:r>
      <w:r>
        <w:rPr>
          <w:rFonts w:ascii="Arial Narrow" w:hAnsi="Arial Narrow" w:cs="Arial"/>
          <w:b/>
          <w:sz w:val="22"/>
          <w:szCs w:val="22"/>
          <w:lang w:val="es-MX"/>
        </w:rPr>
        <w:t>, teniendo en cuenta la ampliación del plazo para la respuesta a la solicitud otorgado por la Con</w:t>
      </w:r>
      <w:r w:rsidR="00B75419">
        <w:rPr>
          <w:rFonts w:ascii="Arial Narrow" w:hAnsi="Arial Narrow" w:cs="Arial"/>
          <w:b/>
          <w:sz w:val="22"/>
          <w:szCs w:val="22"/>
          <w:lang w:val="es-MX"/>
        </w:rPr>
        <w:t>traloría General de la República</w:t>
      </w:r>
      <w:r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340"/>
      </w:tblGrid>
      <w:tr w:rsidR="006A14DC" w:rsidRPr="006A14DC" w:rsidTr="006A14DC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6A14DC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6A14DC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Tiempo de respuesta días calendario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13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20191400001447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13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19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25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20191400001497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14</w:t>
            </w:r>
          </w:p>
        </w:tc>
      </w:tr>
      <w:tr w:rsidR="006A14DC" w:rsidRPr="006A14DC" w:rsidTr="00C272AF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ES"/>
              </w:rPr>
              <w:t>20191400001547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ES"/>
              </w:rPr>
              <w:t>34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20191400001467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20191400001567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16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20191400001627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20191400001597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6A14DC" w:rsidRPr="006A14DC" w:rsidTr="006A14DC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20191400001577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4DC" w:rsidRPr="006A14DC" w:rsidRDefault="006A14DC" w:rsidP="006A14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A1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</w:t>
      </w:r>
      <w:r w:rsidR="00C272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po promedio de respuesta es de 10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se registran para el periodo</w:t>
      </w:r>
      <w:r w:rsidR="00C272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22 solicitudes, de las cuales ninguna se encuentra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en trámite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FE2FE0" w:rsidRPr="00FE2FE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20191400001547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FE2FE0" w:rsidRPr="00FE2FE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20191400001477, 20191400001427, 20191400001597, 20191400001567</w:t>
      </w:r>
      <w:r w:rsidR="00FE2FE0">
        <w:rPr>
          <w:rFonts w:ascii="Calibri" w:eastAsia="Times New Roman" w:hAnsi="Calibri" w:cs="Calibri"/>
          <w:color w:val="000000"/>
          <w:sz w:val="22"/>
          <w:szCs w:val="22"/>
          <w:lang w:val="es-ES"/>
        </w:rPr>
        <w:t xml:space="preserve"> 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0F23A3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F23A3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20EBB2D7" wp14:editId="0D389A9B">
            <wp:extent cx="4819650" cy="26289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E4C03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a los siguientes temas: Información de contacto con enlaces territoriales APC-Colombia, </w:t>
      </w:r>
      <w:r w:rsidR="000F23A3" w:rsidRPr="000F23A3">
        <w:rPr>
          <w:rFonts w:ascii="Arial Narrow" w:hAnsi="Arial Narrow" w:cs="Arial"/>
          <w:noProof/>
          <w:sz w:val="22"/>
          <w:szCs w:val="22"/>
          <w:lang w:val="es-CO" w:eastAsia="es-CO"/>
        </w:rPr>
        <w:t>Solicitud de Información Cooperación Internacional</w:t>
      </w:r>
      <w:r w:rsidR="000F23A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E46F8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el marco del Acuerdo de paz,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estado de los proyectos de cooperación en el territorio.</w:t>
      </w: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mero de peticiones </w:t>
      </w:r>
      <w:r w:rsidR="00E46F8B">
        <w:rPr>
          <w:rFonts w:ascii="Arial Narrow" w:hAnsi="Arial Narrow" w:cs="Arial"/>
          <w:noProof/>
          <w:sz w:val="22"/>
          <w:szCs w:val="22"/>
          <w:lang w:val="es-CO" w:eastAsia="es-CO"/>
        </w:rPr>
        <w:t>aumento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en comparaci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ó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n con las recibidas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E46F8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En este mes se presento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(1) queja y (1) denuncia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98252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cinco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982528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(5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="004C23A4"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982528" w:rsidRDefault="0098252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982528" w:rsidRDefault="0098252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lastRenderedPageBreak/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E46F8B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6805AD07" wp14:editId="3CCBD09E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E46F8B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El 64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el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</w:t>
      </w:r>
      <w:r w:rsidR="00982528">
        <w:rPr>
          <w:rFonts w:ascii="Arial Narrow" w:hAnsi="Arial Narrow" w:cs="Arial"/>
          <w:sz w:val="22"/>
          <w:szCs w:val="22"/>
          <w:lang w:val="es-MX"/>
        </w:rPr>
        <w:t xml:space="preserve"> disponible en la </w:t>
      </w:r>
      <w:proofErr w:type="spellStart"/>
      <w:r w:rsidR="00982528">
        <w:rPr>
          <w:rFonts w:ascii="Arial Narrow" w:hAnsi="Arial Narrow" w:cs="Arial"/>
          <w:sz w:val="22"/>
          <w:szCs w:val="22"/>
          <w:lang w:val="es-MX"/>
        </w:rPr>
        <w:t>pagina</w:t>
      </w:r>
      <w:proofErr w:type="spellEnd"/>
      <w:r w:rsidR="00982528">
        <w:rPr>
          <w:rFonts w:ascii="Arial Narrow" w:hAnsi="Arial Narrow" w:cs="Arial"/>
          <w:sz w:val="22"/>
          <w:szCs w:val="22"/>
          <w:lang w:val="es-MX"/>
        </w:rPr>
        <w:t xml:space="preserve"> oficial de la entidad</w:t>
      </w:r>
      <w:r w:rsidR="00274047">
        <w:rPr>
          <w:rFonts w:ascii="Arial Narrow" w:hAnsi="Arial Narrow" w:cs="Arial"/>
          <w:sz w:val="22"/>
          <w:szCs w:val="22"/>
          <w:lang w:val="es-MX"/>
        </w:rPr>
        <w:t>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E46F8B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7E705A71" wp14:editId="45135A68">
            <wp:extent cx="5353051" cy="294322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E46F8B">
        <w:rPr>
          <w:rFonts w:ascii="Arial Narrow" w:hAnsi="Arial Narrow" w:cs="Arial"/>
          <w:sz w:val="22"/>
          <w:szCs w:val="22"/>
          <w:lang w:val="es-MX"/>
        </w:rPr>
        <w:t xml:space="preserve"> jul</w:t>
      </w:r>
      <w:r w:rsidR="00274047">
        <w:rPr>
          <w:rFonts w:ascii="Arial Narrow" w:hAnsi="Arial Narrow" w:cs="Arial"/>
          <w:sz w:val="22"/>
          <w:szCs w:val="22"/>
          <w:lang w:val="es-MX"/>
        </w:rPr>
        <w:t>io 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94011E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E46F8B">
        <w:rPr>
          <w:rFonts w:ascii="Arial Narrow" w:hAnsi="Arial Narrow" w:cs="Arial"/>
          <w:sz w:val="22"/>
          <w:szCs w:val="22"/>
          <w:lang w:val="es-MX"/>
        </w:rPr>
        <w:t xml:space="preserve">Demanda </w:t>
      </w:r>
      <w:r w:rsidR="0094011E">
        <w:rPr>
          <w:rFonts w:ascii="Arial Narrow" w:hAnsi="Arial Narrow" w:cs="Arial"/>
          <w:sz w:val="22"/>
          <w:szCs w:val="22"/>
          <w:lang w:val="es-MX"/>
        </w:rPr>
        <w:t>de Cooperación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, atendió la </w:t>
      </w:r>
      <w:r w:rsidR="00D50FE3">
        <w:rPr>
          <w:rFonts w:ascii="Arial Narrow" w:hAnsi="Arial Narrow" w:cs="Arial"/>
          <w:sz w:val="22"/>
          <w:szCs w:val="22"/>
          <w:lang w:val="es-MX"/>
        </w:rPr>
        <w:t>mayor cantidad</w:t>
      </w:r>
      <w:r w:rsidR="00A7307B">
        <w:rPr>
          <w:rFonts w:ascii="Arial Narrow" w:hAnsi="Arial Narrow" w:cs="Arial"/>
          <w:sz w:val="22"/>
          <w:szCs w:val="22"/>
          <w:lang w:val="es-MX"/>
        </w:rPr>
        <w:t xml:space="preserve"> de solicitudes, siete (7</w:t>
      </w:r>
      <w:r w:rsidR="00274047">
        <w:rPr>
          <w:rFonts w:ascii="Arial Narrow" w:hAnsi="Arial Narrow" w:cs="Arial"/>
          <w:sz w:val="22"/>
          <w:szCs w:val="22"/>
          <w:lang w:val="es-MX"/>
        </w:rPr>
        <w:t>) en total, seguida por la Di</w:t>
      </w:r>
      <w:r w:rsidR="00A7307B">
        <w:rPr>
          <w:rFonts w:ascii="Arial Narrow" w:hAnsi="Arial Narrow" w:cs="Arial"/>
          <w:sz w:val="22"/>
          <w:szCs w:val="22"/>
          <w:lang w:val="es-MX"/>
        </w:rPr>
        <w:t>rección Administrativa y financiera con cinco (5</w:t>
      </w:r>
      <w:r w:rsidR="00274047">
        <w:rPr>
          <w:rFonts w:ascii="Arial Narrow" w:hAnsi="Arial Narrow" w:cs="Arial"/>
          <w:sz w:val="22"/>
          <w:szCs w:val="22"/>
          <w:lang w:val="es-MX"/>
        </w:rPr>
        <w:t>) solicitudes</w:t>
      </w:r>
      <w:r w:rsidR="00A7307B">
        <w:rPr>
          <w:rFonts w:ascii="Arial Narrow" w:hAnsi="Arial Narrow" w:cs="Arial"/>
          <w:sz w:val="22"/>
          <w:szCs w:val="22"/>
          <w:lang w:val="es-MX"/>
        </w:rPr>
        <w:t>.</w:t>
      </w: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4C23A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</w:t>
      </w:r>
      <w:r w:rsidR="00A7307B">
        <w:rPr>
          <w:rFonts w:ascii="Arial Narrow" w:hAnsi="Arial Narrow" w:cs="Arial"/>
          <w:sz w:val="22"/>
          <w:szCs w:val="22"/>
          <w:lang w:val="es-MX"/>
        </w:rPr>
        <w:t xml:space="preserve"> de manera parcial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los tiempos de respuesta de conformidad a lo contemplado </w:t>
      </w:r>
      <w:r w:rsidR="00A7307B" w:rsidRPr="00C904E5">
        <w:rPr>
          <w:rFonts w:ascii="Arial Narrow" w:hAnsi="Arial Narrow" w:cs="Arial"/>
          <w:sz w:val="22"/>
          <w:szCs w:val="22"/>
          <w:lang w:val="es-MX"/>
        </w:rPr>
        <w:t>en la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ley 1755 de 2015</w:t>
      </w:r>
      <w:r w:rsidR="00982528">
        <w:rPr>
          <w:rFonts w:ascii="Arial Narrow" w:hAnsi="Arial Narrow" w:cs="Arial"/>
          <w:sz w:val="22"/>
          <w:szCs w:val="22"/>
          <w:lang w:val="es-MX"/>
        </w:rPr>
        <w:t>. A la fecha con corte 25</w:t>
      </w:r>
      <w:r w:rsidR="00A7307B">
        <w:rPr>
          <w:rFonts w:ascii="Arial Narrow" w:hAnsi="Arial Narrow" w:cs="Arial"/>
          <w:sz w:val="22"/>
          <w:szCs w:val="22"/>
          <w:lang w:val="es-MX"/>
        </w:rPr>
        <w:t xml:space="preserve"> de septiembre de 2019, </w:t>
      </w:r>
      <w:r w:rsidR="00982528">
        <w:rPr>
          <w:rFonts w:ascii="Arial Narrow" w:hAnsi="Arial Narrow" w:cs="Arial"/>
          <w:sz w:val="22"/>
          <w:szCs w:val="22"/>
          <w:lang w:val="es-MX"/>
        </w:rPr>
        <w:t xml:space="preserve">las solicitudes cuentan con respuesta, </w:t>
      </w:r>
      <w:proofErr w:type="gramStart"/>
      <w:r w:rsidR="00982528">
        <w:rPr>
          <w:rFonts w:ascii="Arial Narrow" w:hAnsi="Arial Narrow" w:cs="Arial"/>
          <w:sz w:val="22"/>
          <w:szCs w:val="22"/>
          <w:lang w:val="es-MX"/>
        </w:rPr>
        <w:t xml:space="preserve">5 </w:t>
      </w:r>
      <w:r>
        <w:rPr>
          <w:rFonts w:ascii="Arial Narrow" w:hAnsi="Arial Narrow" w:cs="Arial"/>
          <w:sz w:val="22"/>
          <w:szCs w:val="22"/>
          <w:lang w:val="es-MX"/>
        </w:rPr>
        <w:t xml:space="preserve"> de</w:t>
      </w:r>
      <w:proofErr w:type="gramEnd"/>
      <w:r>
        <w:rPr>
          <w:rFonts w:ascii="Arial Narrow" w:hAnsi="Arial Narrow" w:cs="Arial"/>
          <w:sz w:val="22"/>
          <w:szCs w:val="22"/>
          <w:lang w:val="es-MX"/>
        </w:rPr>
        <w:t xml:space="preserve"> dichas solicitudes </w:t>
      </w:r>
      <w:r w:rsidR="00982528">
        <w:rPr>
          <w:rFonts w:ascii="Arial Narrow" w:hAnsi="Arial Narrow" w:cs="Arial"/>
          <w:sz w:val="22"/>
          <w:szCs w:val="22"/>
          <w:lang w:val="es-MX"/>
        </w:rPr>
        <w:t xml:space="preserve">se respondieron </w:t>
      </w:r>
      <w:r w:rsidR="00A7307B">
        <w:rPr>
          <w:rFonts w:ascii="Arial Narrow" w:hAnsi="Arial Narrow" w:cs="Arial"/>
          <w:sz w:val="22"/>
          <w:szCs w:val="22"/>
          <w:lang w:val="es-MX"/>
        </w:rPr>
        <w:t xml:space="preserve"> fuera</w:t>
      </w:r>
      <w:r>
        <w:rPr>
          <w:rFonts w:ascii="Arial Narrow" w:hAnsi="Arial Narrow" w:cs="Arial"/>
          <w:sz w:val="22"/>
          <w:szCs w:val="22"/>
          <w:lang w:val="es-MX"/>
        </w:rPr>
        <w:t xml:space="preserve"> de los tiemp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  <w:lang w:val="es-MX"/>
        </w:rPr>
        <w:t>os de respuesta reglamentarios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C" w:rsidRDefault="0030281C" w:rsidP="004C23A4">
      <w:r>
        <w:separator/>
      </w:r>
    </w:p>
  </w:endnote>
  <w:endnote w:type="continuationSeparator" w:id="0">
    <w:p w:rsidR="0030281C" w:rsidRDefault="0030281C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C" w:rsidRDefault="0030281C" w:rsidP="004C23A4">
      <w:r>
        <w:separator/>
      </w:r>
    </w:p>
  </w:footnote>
  <w:footnote w:type="continuationSeparator" w:id="0">
    <w:p w:rsidR="0030281C" w:rsidRDefault="0030281C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23A3"/>
    <w:rsid w:val="000F7502"/>
    <w:rsid w:val="00124A85"/>
    <w:rsid w:val="0012759C"/>
    <w:rsid w:val="001459A5"/>
    <w:rsid w:val="00147F71"/>
    <w:rsid w:val="001C56CF"/>
    <w:rsid w:val="001D0569"/>
    <w:rsid w:val="00265A23"/>
    <w:rsid w:val="00274047"/>
    <w:rsid w:val="00274733"/>
    <w:rsid w:val="002A1D2C"/>
    <w:rsid w:val="002A441F"/>
    <w:rsid w:val="002E6C5A"/>
    <w:rsid w:val="002F1A85"/>
    <w:rsid w:val="0030281C"/>
    <w:rsid w:val="003173F5"/>
    <w:rsid w:val="003350DC"/>
    <w:rsid w:val="003541BB"/>
    <w:rsid w:val="00387C6A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07D51"/>
    <w:rsid w:val="00612121"/>
    <w:rsid w:val="00632D79"/>
    <w:rsid w:val="00640A54"/>
    <w:rsid w:val="00641684"/>
    <w:rsid w:val="00641889"/>
    <w:rsid w:val="00645E96"/>
    <w:rsid w:val="00670F1F"/>
    <w:rsid w:val="0069432A"/>
    <w:rsid w:val="006A1403"/>
    <w:rsid w:val="006A14DC"/>
    <w:rsid w:val="006A7373"/>
    <w:rsid w:val="006F6AAF"/>
    <w:rsid w:val="00717269"/>
    <w:rsid w:val="00723574"/>
    <w:rsid w:val="00746DA2"/>
    <w:rsid w:val="007803E9"/>
    <w:rsid w:val="00793AA6"/>
    <w:rsid w:val="007B1604"/>
    <w:rsid w:val="007C4C7A"/>
    <w:rsid w:val="007D2C25"/>
    <w:rsid w:val="007D653F"/>
    <w:rsid w:val="007F4E97"/>
    <w:rsid w:val="008452EC"/>
    <w:rsid w:val="00854882"/>
    <w:rsid w:val="008832C8"/>
    <w:rsid w:val="008B27D8"/>
    <w:rsid w:val="008D023C"/>
    <w:rsid w:val="008E357B"/>
    <w:rsid w:val="008E730D"/>
    <w:rsid w:val="008F62A5"/>
    <w:rsid w:val="00902087"/>
    <w:rsid w:val="0094011E"/>
    <w:rsid w:val="00982528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7307B"/>
    <w:rsid w:val="00AD465A"/>
    <w:rsid w:val="00AF7FDC"/>
    <w:rsid w:val="00B0122D"/>
    <w:rsid w:val="00B2055A"/>
    <w:rsid w:val="00B3722C"/>
    <w:rsid w:val="00B75419"/>
    <w:rsid w:val="00B83514"/>
    <w:rsid w:val="00B935E9"/>
    <w:rsid w:val="00BC271A"/>
    <w:rsid w:val="00BD522E"/>
    <w:rsid w:val="00BE10C8"/>
    <w:rsid w:val="00C272AF"/>
    <w:rsid w:val="00C51C65"/>
    <w:rsid w:val="00C66D46"/>
    <w:rsid w:val="00C904E5"/>
    <w:rsid w:val="00CE4C03"/>
    <w:rsid w:val="00CF6865"/>
    <w:rsid w:val="00D50FE3"/>
    <w:rsid w:val="00D548B7"/>
    <w:rsid w:val="00D94667"/>
    <w:rsid w:val="00DB0D68"/>
    <w:rsid w:val="00E25863"/>
    <w:rsid w:val="00E31BF8"/>
    <w:rsid w:val="00E37FD4"/>
    <w:rsid w:val="00E46F8B"/>
    <w:rsid w:val="00E80EE5"/>
    <w:rsid w:val="00E859D3"/>
    <w:rsid w:val="00EA1579"/>
    <w:rsid w:val="00EA5649"/>
    <w:rsid w:val="00EF6FB9"/>
    <w:rsid w:val="00F23806"/>
    <w:rsid w:val="00F541A3"/>
    <w:rsid w:val="00F5477B"/>
    <w:rsid w:val="00F934ED"/>
    <w:rsid w:val="00FB6305"/>
    <w:rsid w:val="00FC103C"/>
    <w:rsid w:val="00FD2AE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2F452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4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4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68-45D2-B5F7-3632E6E035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68-45D2-B5F7-3632E6E035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A68-45D2-B5F7-3632E6E035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A68-45D2-B5F7-3632E6E035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A68-45D2-B5F7-3632E6E035D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A68-45D2-B5F7-3632E6E035D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A68-45D2-B5F7-3632E6E035DF}"/>
              </c:ext>
            </c:extLst>
          </c:dPt>
          <c:dLbls>
            <c:dLbl>
              <c:idx val="6"/>
              <c:layout>
                <c:manualLayout>
                  <c:x val="6.1335055450084552E-2"/>
                  <c:y val="-7.39122827037924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A68-45D2-B5F7-3632E6E035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(14).xlsx]Consolidado Tipo Documento'!$A$4:$A$10</c:f>
              <c:strCache>
                <c:ptCount val="7"/>
                <c:pt idx="0">
                  <c:v>DE DENUNCIA</c:v>
                </c:pt>
                <c:pt idx="1">
                  <c:v>DE QUEJA O RECLAMO</c:v>
                </c:pt>
                <c:pt idx="2">
                  <c:v>DE INFORMACIÓN</c:v>
                </c:pt>
                <c:pt idx="3">
                  <c:v>DE CONSULTA</c:v>
                </c:pt>
                <c:pt idx="4">
                  <c:v>DE ENTIDADES PÚBLICAS</c:v>
                </c:pt>
                <c:pt idx="5">
                  <c:v>DE ENTES DE CONTROL</c:v>
                </c:pt>
                <c:pt idx="6">
                  <c:v>DE PETICION</c:v>
                </c:pt>
              </c:strCache>
            </c:strRef>
          </c:cat>
          <c:val>
            <c:numRef>
              <c:f>'[pqr-reporte-consolidado (14).xlsx]Consolidado Tipo Documento'!$B$4:$B$10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A68-45D2-B5F7-3632E6E035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CC-417D-BFDB-134793C08D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CC-417D-BFDB-134793C08D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(14).xlsx]Consolidado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'[pqr-reporte-consolidado (14).xlsx]Consolidado Medio Recepción'!$B$4:$B$5</c:f>
              <c:numCache>
                <c:formatCode>General</c:formatCode>
                <c:ptCount val="2"/>
                <c:pt idx="0">
                  <c:v>8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CC-417D-BFDB-134793C08D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881889763779525E-2"/>
          <c:y val="0.13194444444444445"/>
          <c:w val="0.50034733158355205"/>
          <c:h val="0.773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4EF-41C9-8FC4-03B89EE6AF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4EF-41C9-8FC4-03B89EE6AF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4EF-41C9-8FC4-03B89EE6AF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4EF-41C9-8FC4-03B89EE6AF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4EF-41C9-8FC4-03B89EE6AF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4EF-41C9-8FC4-03B89EE6AF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4EF-41C9-8FC4-03B89EE6AF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(14).xlsx]Consolidado Dependencia'!$A$4:$A$10</c:f>
              <c:strCache>
                <c:ptCount val="7"/>
                <c:pt idx="0">
                  <c:v>DIRECCION GENERAL</c:v>
                </c:pt>
                <c:pt idx="1">
                  <c:v>OFICINA ASESORA DE PLANEACION</c:v>
                </c:pt>
                <c:pt idx="2">
                  <c:v>OFICINA ASESORA JURIDICA</c:v>
                </c:pt>
                <c:pt idx="3">
                  <c:v>PETICIONES, QUEJAS Y RECLAMOS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  <c:pt idx="6">
                  <c:v>DIRECCION DE DEMANDA</c:v>
                </c:pt>
              </c:strCache>
            </c:strRef>
          </c:cat>
          <c:val>
            <c:numRef>
              <c:f>'[pqr-reporte-consolidado (14).xlsx]Consolidado Dependencia'!$B$4:$B$10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4EF-41C9-8FC4-03B89EE6AFF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4</cp:revision>
  <dcterms:created xsi:type="dcterms:W3CDTF">2019-09-09T23:00:00Z</dcterms:created>
  <dcterms:modified xsi:type="dcterms:W3CDTF">2019-09-25T16:53:00Z</dcterms:modified>
</cp:coreProperties>
</file>