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972" w:rsidRPr="00396EB5" w:rsidRDefault="00873972" w:rsidP="00B41CB3">
      <w:pPr>
        <w:jc w:val="center"/>
        <w:rPr>
          <w:rFonts w:ascii="Verdana" w:hAnsi="Verdana"/>
          <w:b/>
          <w:szCs w:val="20"/>
        </w:rPr>
      </w:pPr>
      <w:r w:rsidRPr="00396EB5">
        <w:rPr>
          <w:rFonts w:ascii="Verdana" w:hAnsi="Verdana"/>
          <w:b/>
          <w:szCs w:val="20"/>
        </w:rPr>
        <w:t>AGENCIA PRESIDENCIAL DE COOPERACIÓN INTERNACIONAL</w:t>
      </w:r>
    </w:p>
    <w:p w:rsidR="00F8585A" w:rsidRPr="00396EB5" w:rsidRDefault="00873972" w:rsidP="00F8585A">
      <w:pPr>
        <w:jc w:val="center"/>
        <w:rPr>
          <w:rFonts w:ascii="Verdana" w:hAnsi="Verdana"/>
          <w:b/>
          <w:szCs w:val="20"/>
        </w:rPr>
      </w:pPr>
      <w:r w:rsidRPr="00396EB5">
        <w:rPr>
          <w:rFonts w:ascii="Verdana" w:hAnsi="Verdana"/>
          <w:b/>
          <w:szCs w:val="20"/>
        </w:rPr>
        <w:t xml:space="preserve">Ejecución presupuestal a </w:t>
      </w:r>
      <w:r w:rsidR="00704AE3">
        <w:rPr>
          <w:rFonts w:ascii="Verdana" w:hAnsi="Verdana"/>
          <w:b/>
          <w:szCs w:val="20"/>
        </w:rPr>
        <w:t>30</w:t>
      </w:r>
      <w:r w:rsidR="009A267E" w:rsidRPr="00396EB5">
        <w:rPr>
          <w:rFonts w:ascii="Verdana" w:hAnsi="Verdana"/>
          <w:b/>
          <w:szCs w:val="20"/>
        </w:rPr>
        <w:t xml:space="preserve"> </w:t>
      </w:r>
      <w:r w:rsidR="007E4BD6" w:rsidRPr="00396EB5">
        <w:rPr>
          <w:rFonts w:ascii="Verdana" w:hAnsi="Verdana"/>
          <w:b/>
          <w:szCs w:val="20"/>
        </w:rPr>
        <w:t xml:space="preserve">de </w:t>
      </w:r>
      <w:r w:rsidR="00704AE3">
        <w:rPr>
          <w:rFonts w:ascii="Verdana" w:hAnsi="Verdana"/>
          <w:b/>
          <w:szCs w:val="20"/>
        </w:rPr>
        <w:t>septiembre</w:t>
      </w:r>
      <w:r w:rsidR="00F8585A" w:rsidRPr="00396EB5">
        <w:rPr>
          <w:rFonts w:ascii="Verdana" w:hAnsi="Verdana"/>
          <w:b/>
          <w:szCs w:val="20"/>
        </w:rPr>
        <w:t xml:space="preserve"> de 2019</w:t>
      </w:r>
    </w:p>
    <w:p w:rsidR="00873972" w:rsidRPr="00396EB5" w:rsidRDefault="00873972" w:rsidP="00B41CB3">
      <w:pPr>
        <w:rPr>
          <w:rFonts w:ascii="Verdana" w:hAnsi="Verdana"/>
          <w:szCs w:val="20"/>
        </w:rPr>
      </w:pPr>
    </w:p>
    <w:tbl>
      <w:tblPr>
        <w:tblStyle w:val="Tablaconcuadrcula"/>
        <w:tblW w:w="0" w:type="auto"/>
        <w:tblLook w:val="04A0" w:firstRow="1" w:lastRow="0" w:firstColumn="1" w:lastColumn="0" w:noHBand="0" w:noVBand="1"/>
      </w:tblPr>
      <w:tblGrid>
        <w:gridCol w:w="6576"/>
        <w:gridCol w:w="6702"/>
      </w:tblGrid>
      <w:tr w:rsidR="0057344D" w:rsidRPr="003C58A7" w:rsidTr="00FC7A61">
        <w:tc>
          <w:tcPr>
            <w:tcW w:w="0" w:type="auto"/>
            <w:shd w:val="clear" w:color="auto" w:fill="auto"/>
          </w:tcPr>
          <w:p w:rsidR="00873972" w:rsidRPr="003C58A7" w:rsidRDefault="00873972" w:rsidP="00B41CB3">
            <w:pPr>
              <w:jc w:val="center"/>
              <w:rPr>
                <w:rFonts w:ascii="Verdana" w:hAnsi="Verdana"/>
                <w:b/>
                <w:sz w:val="22"/>
                <w:szCs w:val="20"/>
              </w:rPr>
            </w:pPr>
            <w:r w:rsidRPr="003C58A7">
              <w:rPr>
                <w:rFonts w:ascii="Verdana" w:hAnsi="Verdana"/>
                <w:b/>
                <w:sz w:val="22"/>
                <w:szCs w:val="20"/>
              </w:rPr>
              <w:t>C</w:t>
            </w:r>
            <w:r w:rsidR="00B71B75" w:rsidRPr="003C58A7">
              <w:rPr>
                <w:rFonts w:ascii="Verdana" w:hAnsi="Verdana"/>
                <w:b/>
                <w:sz w:val="22"/>
                <w:szCs w:val="20"/>
              </w:rPr>
              <w:t>ompromisos</w:t>
            </w:r>
          </w:p>
        </w:tc>
        <w:tc>
          <w:tcPr>
            <w:tcW w:w="0" w:type="auto"/>
            <w:shd w:val="clear" w:color="auto" w:fill="auto"/>
          </w:tcPr>
          <w:p w:rsidR="00873972" w:rsidRPr="003C58A7" w:rsidRDefault="00873972" w:rsidP="00B41CB3">
            <w:pPr>
              <w:jc w:val="center"/>
              <w:rPr>
                <w:rFonts w:ascii="Verdana" w:hAnsi="Verdana"/>
                <w:b/>
                <w:sz w:val="22"/>
                <w:szCs w:val="20"/>
              </w:rPr>
            </w:pPr>
            <w:r w:rsidRPr="003C58A7">
              <w:rPr>
                <w:rFonts w:ascii="Verdana" w:hAnsi="Verdana"/>
                <w:b/>
                <w:sz w:val="22"/>
                <w:szCs w:val="20"/>
              </w:rPr>
              <w:t>O</w:t>
            </w:r>
            <w:r w:rsidR="00B71B75" w:rsidRPr="003C58A7">
              <w:rPr>
                <w:rFonts w:ascii="Verdana" w:hAnsi="Verdana"/>
                <w:b/>
                <w:sz w:val="22"/>
                <w:szCs w:val="20"/>
              </w:rPr>
              <w:t>bligaciones</w:t>
            </w:r>
          </w:p>
        </w:tc>
      </w:tr>
      <w:tr w:rsidR="0057344D" w:rsidRPr="003C58A7" w:rsidTr="00FC7A61">
        <w:trPr>
          <w:trHeight w:val="43"/>
        </w:trPr>
        <w:tc>
          <w:tcPr>
            <w:tcW w:w="0" w:type="auto"/>
            <w:shd w:val="clear" w:color="auto" w:fill="auto"/>
            <w:vAlign w:val="center"/>
          </w:tcPr>
          <w:p w:rsidR="00902BE7" w:rsidRPr="00902BE7" w:rsidRDefault="00902BE7" w:rsidP="00902BE7">
            <w:pPr>
              <w:jc w:val="both"/>
              <w:rPr>
                <w:rFonts w:ascii="Verdana" w:hAnsi="Verdana" w:cs="Arial"/>
                <w:sz w:val="20"/>
                <w:szCs w:val="20"/>
              </w:rPr>
            </w:pPr>
            <w:r w:rsidRPr="00902BE7">
              <w:rPr>
                <w:rFonts w:ascii="Verdana" w:hAnsi="Verdana" w:cs="Arial"/>
                <w:b/>
                <w:sz w:val="20"/>
                <w:szCs w:val="20"/>
              </w:rPr>
              <w:t>Indicador:</w:t>
            </w:r>
            <w:r w:rsidRPr="00902BE7">
              <w:rPr>
                <w:rFonts w:ascii="Verdana" w:hAnsi="Verdana" w:cs="Arial"/>
                <w:sz w:val="20"/>
                <w:szCs w:val="20"/>
              </w:rPr>
              <w:t xml:space="preserve"> Ejecución Compromisos / Apropiación Vigente.</w:t>
            </w:r>
          </w:p>
          <w:p w:rsidR="00902BE7" w:rsidRPr="00902BE7" w:rsidRDefault="00902BE7" w:rsidP="00902BE7">
            <w:pPr>
              <w:jc w:val="both"/>
              <w:rPr>
                <w:rFonts w:ascii="Verdana" w:hAnsi="Verdana" w:cs="Arial"/>
                <w:sz w:val="20"/>
                <w:szCs w:val="20"/>
              </w:rPr>
            </w:pPr>
            <w:r w:rsidRPr="00902BE7">
              <w:rPr>
                <w:rFonts w:ascii="Verdana" w:hAnsi="Verdana" w:cs="Arial"/>
                <w:b/>
                <w:sz w:val="20"/>
                <w:szCs w:val="20"/>
              </w:rPr>
              <w:t>Indicador:</w:t>
            </w:r>
            <w:r w:rsidRPr="00902BE7">
              <w:rPr>
                <w:rFonts w:ascii="Verdana" w:hAnsi="Verdana" w:cs="Arial"/>
                <w:sz w:val="20"/>
                <w:szCs w:val="20"/>
              </w:rPr>
              <w:t xml:space="preserve"> </w:t>
            </w:r>
            <w:r w:rsidR="00704AE3">
              <w:rPr>
                <w:rFonts w:ascii="Verdana" w:hAnsi="Verdana" w:cs="Arial"/>
                <w:sz w:val="20"/>
                <w:szCs w:val="20"/>
              </w:rPr>
              <w:t>37.729</w:t>
            </w:r>
            <w:r w:rsidR="00541CE0">
              <w:rPr>
                <w:rFonts w:ascii="Verdana" w:hAnsi="Verdana" w:cs="Arial"/>
                <w:sz w:val="20"/>
                <w:szCs w:val="20"/>
              </w:rPr>
              <w:t>,</w:t>
            </w:r>
            <w:r w:rsidR="00704AE3">
              <w:rPr>
                <w:rFonts w:ascii="Verdana" w:hAnsi="Verdana" w:cs="Arial"/>
                <w:sz w:val="20"/>
                <w:szCs w:val="20"/>
              </w:rPr>
              <w:t>9</w:t>
            </w:r>
            <w:r w:rsidRPr="00902BE7">
              <w:rPr>
                <w:rFonts w:ascii="Verdana" w:hAnsi="Verdana" w:cs="Arial"/>
                <w:sz w:val="20"/>
                <w:szCs w:val="20"/>
              </w:rPr>
              <w:t xml:space="preserve"> / 94.033,1 = </w:t>
            </w:r>
            <w:r w:rsidR="00704AE3">
              <w:rPr>
                <w:rFonts w:ascii="Verdana" w:hAnsi="Verdana" w:cs="Arial"/>
                <w:sz w:val="20"/>
                <w:szCs w:val="20"/>
              </w:rPr>
              <w:t>40</w:t>
            </w:r>
            <w:r w:rsidR="00541CE0">
              <w:rPr>
                <w:rFonts w:ascii="Verdana" w:hAnsi="Verdana" w:cs="Arial"/>
                <w:sz w:val="20"/>
                <w:szCs w:val="20"/>
              </w:rPr>
              <w:t>,</w:t>
            </w:r>
            <w:r w:rsidR="00704AE3">
              <w:rPr>
                <w:rFonts w:ascii="Verdana" w:hAnsi="Verdana" w:cs="Arial"/>
                <w:sz w:val="20"/>
                <w:szCs w:val="20"/>
              </w:rPr>
              <w:t>12</w:t>
            </w:r>
            <w:r w:rsidRPr="00902BE7">
              <w:rPr>
                <w:rFonts w:ascii="Verdana" w:hAnsi="Verdana" w:cs="Arial"/>
                <w:sz w:val="20"/>
                <w:szCs w:val="20"/>
              </w:rPr>
              <w:t>%.</w:t>
            </w:r>
          </w:p>
          <w:p w:rsidR="00902BE7" w:rsidRPr="00902BE7" w:rsidRDefault="00A74F27" w:rsidP="00902BE7">
            <w:pPr>
              <w:jc w:val="both"/>
              <w:rPr>
                <w:rFonts w:ascii="Verdana" w:hAnsi="Verdana" w:cs="Arial"/>
                <w:sz w:val="20"/>
                <w:szCs w:val="20"/>
              </w:rPr>
            </w:pPr>
            <w:r>
              <w:rPr>
                <w:rFonts w:ascii="Verdana" w:hAnsi="Verdana" w:cs="Arial"/>
                <w:sz w:val="20"/>
                <w:szCs w:val="20"/>
              </w:rPr>
              <w:tab/>
            </w:r>
          </w:p>
          <w:p w:rsidR="00C17A84" w:rsidRDefault="00902BE7" w:rsidP="005F4A60">
            <w:pPr>
              <w:jc w:val="both"/>
              <w:rPr>
                <w:rFonts w:ascii="Verdana" w:hAnsi="Verdana" w:cs="Arial"/>
                <w:sz w:val="20"/>
                <w:szCs w:val="20"/>
              </w:rPr>
            </w:pPr>
            <w:r w:rsidRPr="00902BE7">
              <w:rPr>
                <w:rFonts w:ascii="Verdana" w:hAnsi="Verdana" w:cs="Arial"/>
                <w:sz w:val="20"/>
                <w:szCs w:val="20"/>
                <w:lang w:val="es-CO"/>
              </w:rPr>
              <w:t xml:space="preserve">Con corte al </w:t>
            </w:r>
            <w:r w:rsidR="00704AE3">
              <w:rPr>
                <w:rFonts w:ascii="Verdana" w:hAnsi="Verdana" w:cs="Arial"/>
                <w:sz w:val="20"/>
                <w:szCs w:val="20"/>
                <w:lang w:val="es-CO"/>
              </w:rPr>
              <w:t>30</w:t>
            </w:r>
            <w:r w:rsidR="00606CC0">
              <w:rPr>
                <w:rFonts w:ascii="Verdana" w:hAnsi="Verdana" w:cs="Arial"/>
                <w:sz w:val="20"/>
                <w:szCs w:val="20"/>
                <w:lang w:val="es-CO"/>
              </w:rPr>
              <w:t xml:space="preserve"> </w:t>
            </w:r>
            <w:r w:rsidR="00F85104">
              <w:rPr>
                <w:rFonts w:ascii="Verdana" w:hAnsi="Verdana" w:cs="Arial"/>
                <w:sz w:val="20"/>
                <w:szCs w:val="20"/>
                <w:lang w:val="es-CO"/>
              </w:rPr>
              <w:t xml:space="preserve">de </w:t>
            </w:r>
            <w:r w:rsidR="00704AE3">
              <w:rPr>
                <w:rFonts w:ascii="Verdana" w:hAnsi="Verdana" w:cs="Arial"/>
                <w:sz w:val="20"/>
                <w:szCs w:val="20"/>
                <w:lang w:val="es-CO"/>
              </w:rPr>
              <w:t>septiembre</w:t>
            </w:r>
            <w:r w:rsidRPr="00902BE7">
              <w:rPr>
                <w:rFonts w:ascii="Verdana" w:hAnsi="Verdana" w:cs="Arial"/>
                <w:sz w:val="20"/>
                <w:szCs w:val="20"/>
                <w:lang w:val="es-CO"/>
              </w:rPr>
              <w:t xml:space="preserve"> de 2019, la ejecución presupuestal de la entidad</w:t>
            </w:r>
            <w:r w:rsidRPr="00902BE7">
              <w:rPr>
                <w:rFonts w:ascii="Verdana" w:hAnsi="Verdana" w:cs="Arial"/>
                <w:sz w:val="20"/>
                <w:szCs w:val="20"/>
              </w:rPr>
              <w:t xml:space="preserve"> fue del </w:t>
            </w:r>
            <w:r w:rsidR="00704AE3">
              <w:rPr>
                <w:rFonts w:ascii="Verdana" w:hAnsi="Verdana" w:cs="Arial"/>
                <w:sz w:val="20"/>
                <w:szCs w:val="20"/>
              </w:rPr>
              <w:t>40,12</w:t>
            </w:r>
            <w:r w:rsidRPr="00902BE7">
              <w:rPr>
                <w:rFonts w:ascii="Verdana" w:hAnsi="Verdana" w:cs="Arial"/>
                <w:sz w:val="20"/>
                <w:szCs w:val="20"/>
              </w:rPr>
              <w:t xml:space="preserve">% equivalente a </w:t>
            </w:r>
            <w:r w:rsidR="00D13FB2">
              <w:rPr>
                <w:rFonts w:ascii="Verdana" w:hAnsi="Verdana" w:cs="Arial"/>
                <w:sz w:val="20"/>
                <w:szCs w:val="20"/>
              </w:rPr>
              <w:t xml:space="preserve">37.729,9 </w:t>
            </w:r>
            <w:r w:rsidRPr="00902BE7">
              <w:rPr>
                <w:rFonts w:ascii="Verdana" w:hAnsi="Verdana" w:cs="Arial"/>
                <w:sz w:val="20"/>
                <w:szCs w:val="20"/>
                <w:lang w:val="es-CO"/>
              </w:rPr>
              <w:t xml:space="preserve">millones, frente a una meta del </w:t>
            </w:r>
            <w:r w:rsidR="00D13FB2">
              <w:rPr>
                <w:rFonts w:ascii="Verdana" w:hAnsi="Verdana" w:cs="Arial"/>
                <w:sz w:val="20"/>
                <w:szCs w:val="20"/>
                <w:lang w:val="es-CO"/>
              </w:rPr>
              <w:t>40,76</w:t>
            </w:r>
            <w:r w:rsidRPr="00902BE7">
              <w:rPr>
                <w:rFonts w:ascii="Verdana" w:hAnsi="Verdana" w:cs="Arial"/>
                <w:sz w:val="20"/>
                <w:szCs w:val="20"/>
                <w:lang w:val="es-CO"/>
              </w:rPr>
              <w:t xml:space="preserve">%, con un </w:t>
            </w:r>
            <w:r w:rsidR="00D13FB2">
              <w:rPr>
                <w:rFonts w:ascii="Verdana" w:hAnsi="Verdana" w:cs="Arial"/>
                <w:sz w:val="20"/>
                <w:szCs w:val="20"/>
                <w:lang w:val="es-CO"/>
              </w:rPr>
              <w:t>déficit</w:t>
            </w:r>
            <w:r w:rsidRPr="00902BE7">
              <w:rPr>
                <w:rFonts w:ascii="Verdana" w:hAnsi="Verdana" w:cs="Arial"/>
                <w:sz w:val="20"/>
                <w:szCs w:val="20"/>
                <w:lang w:val="es-CO"/>
              </w:rPr>
              <w:t xml:space="preserve"> de </w:t>
            </w:r>
            <w:r w:rsidR="00D13FB2">
              <w:rPr>
                <w:rFonts w:ascii="Verdana" w:hAnsi="Verdana" w:cs="Arial"/>
                <w:sz w:val="20"/>
                <w:szCs w:val="20"/>
                <w:lang w:val="es-CO"/>
              </w:rPr>
              <w:t>601,5</w:t>
            </w:r>
            <w:r w:rsidRPr="00902BE7">
              <w:rPr>
                <w:rFonts w:ascii="Verdana" w:hAnsi="Verdana" w:cs="Arial"/>
                <w:sz w:val="20"/>
                <w:szCs w:val="20"/>
                <w:lang w:val="es-CO"/>
              </w:rPr>
              <w:t xml:space="preserve"> millones, el cual se explica así: </w:t>
            </w:r>
            <w:r w:rsidRPr="00902BE7">
              <w:rPr>
                <w:rFonts w:ascii="Verdana" w:hAnsi="Verdana" w:cs="Arial"/>
                <w:b/>
                <w:sz w:val="20"/>
                <w:szCs w:val="20"/>
                <w:u w:val="single"/>
              </w:rPr>
              <w:t xml:space="preserve">A) Funcionamiento: </w:t>
            </w:r>
            <w:r w:rsidRPr="00902BE7">
              <w:rPr>
                <w:rFonts w:ascii="Verdana" w:hAnsi="Verdana" w:cs="Arial"/>
                <w:sz w:val="20"/>
                <w:szCs w:val="20"/>
              </w:rPr>
              <w:t xml:space="preserve">1) </w:t>
            </w:r>
            <w:r w:rsidR="00D13FB2">
              <w:rPr>
                <w:rFonts w:ascii="Verdana" w:hAnsi="Verdana" w:cs="Arial"/>
                <w:sz w:val="20"/>
                <w:szCs w:val="20"/>
              </w:rPr>
              <w:t>Superávit</w:t>
            </w:r>
            <w:r w:rsidR="00D13FB2" w:rsidRPr="00902BE7">
              <w:rPr>
                <w:rFonts w:ascii="Verdana" w:hAnsi="Verdana" w:cs="Arial"/>
                <w:sz w:val="20"/>
                <w:szCs w:val="20"/>
              </w:rPr>
              <w:t xml:space="preserve"> en</w:t>
            </w:r>
            <w:r w:rsidRPr="00902BE7">
              <w:rPr>
                <w:rFonts w:ascii="Verdana" w:hAnsi="Verdana" w:cs="Arial"/>
                <w:sz w:val="20"/>
                <w:szCs w:val="20"/>
              </w:rPr>
              <w:t xml:space="preserve"> la ejecución de gastos de personal por </w:t>
            </w:r>
            <w:r w:rsidR="00D13FB2">
              <w:rPr>
                <w:rFonts w:ascii="Verdana" w:hAnsi="Verdana" w:cs="Arial"/>
                <w:sz w:val="20"/>
                <w:szCs w:val="20"/>
              </w:rPr>
              <w:t>73,1</w:t>
            </w:r>
            <w:r w:rsidRPr="00902BE7">
              <w:rPr>
                <w:rFonts w:ascii="Verdana" w:hAnsi="Verdana" w:cs="Arial"/>
                <w:sz w:val="20"/>
                <w:szCs w:val="20"/>
              </w:rPr>
              <w:t xml:space="preserve"> millones</w:t>
            </w:r>
            <w:r w:rsidR="00907B15">
              <w:rPr>
                <w:rFonts w:ascii="Verdana" w:hAnsi="Verdana" w:cs="Arial"/>
                <w:sz w:val="20"/>
                <w:szCs w:val="20"/>
              </w:rPr>
              <w:t>,</w:t>
            </w:r>
            <w:r w:rsidR="00907B15" w:rsidRPr="0049603A">
              <w:rPr>
                <w:rFonts w:ascii="Verdana" w:hAnsi="Verdana" w:cs="Arial"/>
                <w:sz w:val="20"/>
                <w:szCs w:val="20"/>
              </w:rPr>
              <w:t xml:space="preserve"> se cumplió la meta</w:t>
            </w:r>
            <w:r w:rsidR="00B020F0">
              <w:rPr>
                <w:rFonts w:ascii="Verdana" w:hAnsi="Verdana" w:cs="Arial"/>
                <w:sz w:val="20"/>
                <w:szCs w:val="20"/>
              </w:rPr>
              <w:t>.</w:t>
            </w:r>
            <w:r w:rsidR="007E78DC">
              <w:rPr>
                <w:rFonts w:ascii="Verdana" w:hAnsi="Verdana" w:cs="Arial"/>
                <w:sz w:val="20"/>
                <w:szCs w:val="20"/>
              </w:rPr>
              <w:t xml:space="preserve"> </w:t>
            </w:r>
            <w:r w:rsidRPr="00902BE7">
              <w:rPr>
                <w:rFonts w:ascii="Verdana" w:hAnsi="Verdana" w:cs="Arial"/>
                <w:sz w:val="20"/>
                <w:szCs w:val="20"/>
              </w:rPr>
              <w:t xml:space="preserve">2) </w:t>
            </w:r>
            <w:r w:rsidR="007E78DC">
              <w:rPr>
                <w:rFonts w:ascii="Verdana" w:hAnsi="Verdana" w:cs="Arial"/>
                <w:sz w:val="20"/>
                <w:szCs w:val="20"/>
              </w:rPr>
              <w:t xml:space="preserve">superávit </w:t>
            </w:r>
            <w:r w:rsidRPr="00902BE7">
              <w:rPr>
                <w:rFonts w:ascii="Verdana" w:hAnsi="Verdana" w:cs="Arial"/>
                <w:sz w:val="20"/>
                <w:szCs w:val="20"/>
              </w:rPr>
              <w:t xml:space="preserve">en adquisición de bienes y servicios por </w:t>
            </w:r>
            <w:r w:rsidR="00D13FB2">
              <w:rPr>
                <w:rFonts w:ascii="Verdana" w:hAnsi="Verdana" w:cs="Arial"/>
                <w:sz w:val="20"/>
                <w:szCs w:val="20"/>
              </w:rPr>
              <w:t>329</w:t>
            </w:r>
            <w:r w:rsidR="00F85104">
              <w:rPr>
                <w:rFonts w:ascii="Verdana" w:hAnsi="Verdana" w:cs="Arial"/>
                <w:sz w:val="20"/>
                <w:szCs w:val="20"/>
              </w:rPr>
              <w:t>,</w:t>
            </w:r>
            <w:r w:rsidR="00D13FB2">
              <w:rPr>
                <w:rFonts w:ascii="Verdana" w:hAnsi="Verdana" w:cs="Arial"/>
                <w:sz w:val="20"/>
                <w:szCs w:val="20"/>
              </w:rPr>
              <w:t>0</w:t>
            </w:r>
            <w:r w:rsidRPr="00902BE7">
              <w:rPr>
                <w:rFonts w:ascii="Verdana" w:hAnsi="Verdana" w:cs="Arial"/>
                <w:sz w:val="20"/>
                <w:szCs w:val="20"/>
              </w:rPr>
              <w:t xml:space="preserve"> millones,</w:t>
            </w:r>
            <w:r w:rsidR="007E78DC">
              <w:rPr>
                <w:rFonts w:ascii="Verdana" w:hAnsi="Verdana" w:cs="Arial"/>
                <w:sz w:val="20"/>
                <w:szCs w:val="20"/>
              </w:rPr>
              <w:t xml:space="preserve"> se cumplió la meta, debido que este mes </w:t>
            </w:r>
            <w:r w:rsidR="00DF5C1B">
              <w:rPr>
                <w:rFonts w:ascii="Verdana" w:hAnsi="Verdana" w:cs="Arial"/>
                <w:sz w:val="20"/>
                <w:szCs w:val="20"/>
              </w:rPr>
              <w:t xml:space="preserve">se </w:t>
            </w:r>
            <w:r w:rsidR="00360771">
              <w:rPr>
                <w:rFonts w:ascii="Verdana" w:hAnsi="Verdana" w:cs="Arial"/>
                <w:sz w:val="20"/>
                <w:szCs w:val="20"/>
              </w:rPr>
              <w:t>realizó el</w:t>
            </w:r>
            <w:r w:rsidR="00191050">
              <w:rPr>
                <w:rFonts w:ascii="Verdana" w:hAnsi="Verdana" w:cs="Arial"/>
                <w:sz w:val="20"/>
                <w:szCs w:val="20"/>
              </w:rPr>
              <w:t xml:space="preserve"> pago a la Comisión Nacional Del Servicio </w:t>
            </w:r>
            <w:r w:rsidR="00A41E2D">
              <w:rPr>
                <w:rFonts w:ascii="Verdana" w:hAnsi="Verdana" w:cs="Arial"/>
                <w:sz w:val="20"/>
                <w:szCs w:val="20"/>
              </w:rPr>
              <w:t xml:space="preserve">y </w:t>
            </w:r>
            <w:r w:rsidR="00191050">
              <w:rPr>
                <w:rFonts w:ascii="Verdana" w:hAnsi="Verdana" w:cs="Arial"/>
                <w:sz w:val="20"/>
                <w:szCs w:val="20"/>
              </w:rPr>
              <w:t xml:space="preserve"> el contrato de adquisición de elementos de papelería y útiles de oficina para la entidad </w:t>
            </w:r>
            <w:r w:rsidRPr="009C75C1">
              <w:rPr>
                <w:rFonts w:ascii="Verdana" w:hAnsi="Verdana" w:cs="Arial"/>
                <w:sz w:val="20"/>
                <w:szCs w:val="20"/>
              </w:rPr>
              <w:t xml:space="preserve">3) </w:t>
            </w:r>
            <w:r w:rsidR="0040121F" w:rsidRPr="009C75C1">
              <w:rPr>
                <w:rFonts w:ascii="Verdana" w:hAnsi="Verdana" w:cs="Arial"/>
                <w:sz w:val="20"/>
                <w:szCs w:val="20"/>
              </w:rPr>
              <w:t xml:space="preserve">Superávit </w:t>
            </w:r>
            <w:r w:rsidRPr="009C75C1">
              <w:rPr>
                <w:rFonts w:ascii="Verdana" w:hAnsi="Verdana" w:cs="Arial"/>
                <w:sz w:val="20"/>
                <w:szCs w:val="20"/>
              </w:rPr>
              <w:t xml:space="preserve"> en la ejecución de transferencias corrientes por </w:t>
            </w:r>
            <w:r w:rsidR="00191050">
              <w:rPr>
                <w:rFonts w:ascii="Verdana" w:hAnsi="Verdana" w:cs="Arial"/>
                <w:sz w:val="20"/>
                <w:szCs w:val="20"/>
              </w:rPr>
              <w:t>1.017,3</w:t>
            </w:r>
            <w:r w:rsidRPr="009C75C1">
              <w:rPr>
                <w:rFonts w:ascii="Verdana" w:hAnsi="Verdana" w:cs="Arial"/>
                <w:sz w:val="20"/>
                <w:szCs w:val="20"/>
              </w:rPr>
              <w:t xml:space="preserve"> millones, discriminado así</w:t>
            </w:r>
            <w:r w:rsidR="0040121F" w:rsidRPr="009C75C1">
              <w:rPr>
                <w:rFonts w:ascii="Verdana" w:hAnsi="Verdana" w:cs="Arial"/>
                <w:sz w:val="20"/>
                <w:szCs w:val="20"/>
              </w:rPr>
              <w:t>: i</w:t>
            </w:r>
            <w:r w:rsidRPr="009C75C1">
              <w:rPr>
                <w:rFonts w:ascii="Verdana" w:hAnsi="Verdana" w:cs="Arial"/>
                <w:sz w:val="20"/>
                <w:szCs w:val="20"/>
              </w:rPr>
              <w:t xml:space="preserve">) </w:t>
            </w:r>
            <w:r w:rsidR="0036793A">
              <w:rPr>
                <w:rFonts w:ascii="Verdana" w:hAnsi="Verdana" w:cs="Arial"/>
                <w:sz w:val="20"/>
                <w:szCs w:val="20"/>
              </w:rPr>
              <w:t>S</w:t>
            </w:r>
            <w:r w:rsidR="0040121F" w:rsidRPr="0049603A">
              <w:rPr>
                <w:rFonts w:ascii="Verdana" w:hAnsi="Verdana" w:cs="Arial"/>
                <w:sz w:val="20"/>
                <w:szCs w:val="20"/>
              </w:rPr>
              <w:t>uperávit d</w:t>
            </w:r>
            <w:r w:rsidRPr="0049603A">
              <w:rPr>
                <w:rFonts w:ascii="Verdana" w:hAnsi="Verdana" w:cs="Arial"/>
                <w:sz w:val="20"/>
                <w:szCs w:val="20"/>
              </w:rPr>
              <w:t xml:space="preserve">e </w:t>
            </w:r>
            <w:r w:rsidR="00191050">
              <w:rPr>
                <w:rFonts w:ascii="Verdana" w:hAnsi="Verdana" w:cs="Arial"/>
                <w:sz w:val="20"/>
                <w:szCs w:val="20"/>
              </w:rPr>
              <w:t>1.024,5</w:t>
            </w:r>
            <w:r w:rsidRPr="0049603A">
              <w:rPr>
                <w:rFonts w:ascii="Verdana" w:hAnsi="Verdana" w:cs="Arial"/>
                <w:sz w:val="20"/>
                <w:szCs w:val="20"/>
              </w:rPr>
              <w:t xml:space="preserve"> millones de recursos provenientes del FOCAI, </w:t>
            </w:r>
            <w:r w:rsidR="00274D3C">
              <w:rPr>
                <w:rFonts w:ascii="Verdana" w:hAnsi="Verdana" w:cs="Arial"/>
                <w:sz w:val="20"/>
                <w:szCs w:val="20"/>
              </w:rPr>
              <w:t xml:space="preserve">se </w:t>
            </w:r>
            <w:r w:rsidR="00B6527F">
              <w:rPr>
                <w:rFonts w:ascii="Verdana" w:hAnsi="Verdana" w:cs="Arial"/>
                <w:sz w:val="20"/>
                <w:szCs w:val="20"/>
              </w:rPr>
              <w:t xml:space="preserve">realizó una </w:t>
            </w:r>
            <w:r w:rsidR="00274D3C">
              <w:rPr>
                <w:rFonts w:ascii="Verdana" w:hAnsi="Verdana" w:cs="Arial"/>
                <w:sz w:val="20"/>
                <w:szCs w:val="20"/>
              </w:rPr>
              <w:t xml:space="preserve">asistencia </w:t>
            </w:r>
            <w:r w:rsidR="00B6527F">
              <w:rPr>
                <w:rFonts w:ascii="Verdana" w:hAnsi="Verdana" w:cs="Arial"/>
                <w:sz w:val="20"/>
                <w:szCs w:val="20"/>
              </w:rPr>
              <w:t xml:space="preserve">humanitaria con destino al </w:t>
            </w:r>
            <w:r w:rsidR="00191050">
              <w:rPr>
                <w:rFonts w:ascii="Verdana" w:hAnsi="Verdana" w:cs="Arial"/>
                <w:sz w:val="20"/>
                <w:szCs w:val="20"/>
              </w:rPr>
              <w:t>Gobierno de la Mancomunidad De Las Bahamas de la organización de Estados Americanos y se ejecutaron</w:t>
            </w:r>
            <w:r w:rsidR="00134DAE">
              <w:rPr>
                <w:rFonts w:ascii="Verdana" w:hAnsi="Verdana" w:cs="Arial"/>
                <w:sz w:val="20"/>
                <w:szCs w:val="20"/>
              </w:rPr>
              <w:t xml:space="preserve"> todas</w:t>
            </w:r>
            <w:r w:rsidR="00191050">
              <w:rPr>
                <w:rFonts w:ascii="Verdana" w:hAnsi="Verdana" w:cs="Arial"/>
                <w:sz w:val="20"/>
                <w:szCs w:val="20"/>
              </w:rPr>
              <w:t xml:space="preserve"> las actividades </w:t>
            </w:r>
            <w:r w:rsidR="00134DAE">
              <w:rPr>
                <w:rFonts w:ascii="Verdana" w:hAnsi="Verdana" w:cs="Arial"/>
                <w:sz w:val="20"/>
                <w:szCs w:val="20"/>
              </w:rPr>
              <w:t xml:space="preserve">previstas </w:t>
            </w:r>
            <w:r w:rsidR="00191050">
              <w:rPr>
                <w:rFonts w:ascii="Verdana" w:hAnsi="Verdana" w:cs="Arial"/>
                <w:sz w:val="20"/>
                <w:szCs w:val="20"/>
              </w:rPr>
              <w:t>de gastos de viaje</w:t>
            </w:r>
            <w:r w:rsidR="00B6527F">
              <w:rPr>
                <w:rFonts w:ascii="Verdana" w:hAnsi="Verdana" w:cs="Arial"/>
                <w:sz w:val="20"/>
                <w:szCs w:val="20"/>
              </w:rPr>
              <w:t>,</w:t>
            </w:r>
            <w:r w:rsidR="00274D3C" w:rsidRPr="00007EA0">
              <w:rPr>
                <w:rFonts w:ascii="Verdana" w:hAnsi="Verdana" w:cs="Arial"/>
                <w:sz w:val="20"/>
                <w:szCs w:val="20"/>
              </w:rPr>
              <w:t xml:space="preserve"> </w:t>
            </w:r>
            <w:r w:rsidR="00007EA0">
              <w:rPr>
                <w:rFonts w:ascii="Verdana" w:hAnsi="Verdana" w:cs="Arial"/>
                <w:sz w:val="20"/>
                <w:szCs w:val="20"/>
              </w:rPr>
              <w:t xml:space="preserve">se </w:t>
            </w:r>
            <w:r w:rsidR="0040121F" w:rsidRPr="0049603A">
              <w:rPr>
                <w:rFonts w:ascii="Verdana" w:hAnsi="Verdana" w:cs="Arial"/>
                <w:sz w:val="20"/>
                <w:szCs w:val="20"/>
              </w:rPr>
              <w:t xml:space="preserve">cumplió la meta; </w:t>
            </w:r>
            <w:r w:rsidR="00450773" w:rsidRPr="0049603A">
              <w:rPr>
                <w:rFonts w:ascii="Verdana" w:hAnsi="Verdana" w:cs="Arial"/>
                <w:sz w:val="20"/>
                <w:szCs w:val="20"/>
              </w:rPr>
              <w:t xml:space="preserve">ii) </w:t>
            </w:r>
            <w:r w:rsidR="00FE52BF">
              <w:rPr>
                <w:rFonts w:ascii="Verdana" w:hAnsi="Verdana" w:cs="Arial"/>
                <w:sz w:val="20"/>
                <w:szCs w:val="20"/>
              </w:rPr>
              <w:t xml:space="preserve">se presentó déficit de </w:t>
            </w:r>
            <w:r w:rsidR="00134DAE">
              <w:rPr>
                <w:rFonts w:ascii="Verdana" w:hAnsi="Verdana" w:cs="Arial"/>
                <w:sz w:val="20"/>
                <w:szCs w:val="20"/>
              </w:rPr>
              <w:t xml:space="preserve">7,0 millones de </w:t>
            </w:r>
            <w:r w:rsidR="00007EA0">
              <w:rPr>
                <w:rFonts w:ascii="Verdana" w:hAnsi="Verdana" w:cs="Arial"/>
                <w:sz w:val="20"/>
                <w:szCs w:val="20"/>
              </w:rPr>
              <w:t>incapacidades y licencias de maternidad</w:t>
            </w:r>
            <w:r w:rsidR="00D14A6A">
              <w:rPr>
                <w:rFonts w:ascii="Verdana" w:hAnsi="Verdana" w:cs="Arial"/>
                <w:sz w:val="20"/>
                <w:szCs w:val="20"/>
              </w:rPr>
              <w:t xml:space="preserve"> este rubro varía según las incapacidades y licencias que radican el talento humano</w:t>
            </w:r>
            <w:r w:rsidR="00BC7B65" w:rsidRPr="005941CA">
              <w:rPr>
                <w:rFonts w:ascii="Verdana" w:hAnsi="Verdana" w:cs="Arial"/>
                <w:b/>
                <w:sz w:val="20"/>
                <w:szCs w:val="20"/>
              </w:rPr>
              <w:t xml:space="preserve"> B</w:t>
            </w:r>
            <w:r w:rsidRPr="005941CA">
              <w:rPr>
                <w:rFonts w:ascii="Verdana" w:hAnsi="Verdana" w:cs="Arial"/>
                <w:b/>
                <w:sz w:val="20"/>
                <w:szCs w:val="20"/>
              </w:rPr>
              <w:t>) Gastos de inversión:</w:t>
            </w:r>
            <w:r w:rsidRPr="00994555">
              <w:rPr>
                <w:rFonts w:ascii="Verdana" w:hAnsi="Verdana" w:cs="Arial"/>
                <w:sz w:val="20"/>
                <w:szCs w:val="20"/>
              </w:rPr>
              <w:t xml:space="preserve"> </w:t>
            </w:r>
            <w:r w:rsidR="00C21867">
              <w:rPr>
                <w:rFonts w:ascii="Verdana" w:hAnsi="Verdana" w:cs="Arial"/>
                <w:sz w:val="20"/>
                <w:szCs w:val="20"/>
              </w:rPr>
              <w:t>1)</w:t>
            </w:r>
            <w:r w:rsidRPr="00994555">
              <w:rPr>
                <w:rFonts w:ascii="Verdana" w:hAnsi="Verdana" w:cs="Arial"/>
                <w:sz w:val="20"/>
                <w:szCs w:val="20"/>
              </w:rPr>
              <w:t xml:space="preserve">La ejecución en inversión tiene </w:t>
            </w:r>
            <w:r w:rsidR="00662352">
              <w:rPr>
                <w:rFonts w:ascii="Verdana" w:hAnsi="Verdana" w:cs="Arial"/>
                <w:sz w:val="20"/>
                <w:szCs w:val="20"/>
              </w:rPr>
              <w:t xml:space="preserve">Déficit </w:t>
            </w:r>
            <w:r w:rsidRPr="00994555">
              <w:rPr>
                <w:rFonts w:ascii="Verdana" w:hAnsi="Verdana" w:cs="Arial"/>
                <w:sz w:val="20"/>
                <w:szCs w:val="20"/>
              </w:rPr>
              <w:t xml:space="preserve">de </w:t>
            </w:r>
            <w:r w:rsidR="00DC4DC8">
              <w:rPr>
                <w:rFonts w:ascii="Verdana" w:hAnsi="Verdana" w:cs="Arial"/>
                <w:sz w:val="20"/>
                <w:szCs w:val="20"/>
              </w:rPr>
              <w:t>2.021</w:t>
            </w:r>
            <w:r w:rsidRPr="00994555">
              <w:rPr>
                <w:rFonts w:ascii="Verdana" w:hAnsi="Verdana" w:cs="Arial"/>
                <w:sz w:val="20"/>
                <w:szCs w:val="20"/>
              </w:rPr>
              <w:t xml:space="preserve"> millones</w:t>
            </w:r>
            <w:r w:rsidR="00007EA0">
              <w:rPr>
                <w:rFonts w:ascii="Verdana" w:hAnsi="Verdana" w:cs="Arial"/>
                <w:sz w:val="20"/>
                <w:szCs w:val="20"/>
              </w:rPr>
              <w:t>,</w:t>
            </w:r>
            <w:r w:rsidR="00662352">
              <w:rPr>
                <w:rFonts w:ascii="Verdana" w:hAnsi="Verdana" w:cs="Arial"/>
                <w:sz w:val="20"/>
                <w:szCs w:val="20"/>
              </w:rPr>
              <w:t xml:space="preserve"> </w:t>
            </w:r>
            <w:r w:rsidR="00007EA0" w:rsidRPr="00994555">
              <w:rPr>
                <w:rFonts w:ascii="Verdana" w:hAnsi="Verdana" w:cs="Arial"/>
                <w:sz w:val="20"/>
                <w:szCs w:val="20"/>
              </w:rPr>
              <w:t>debido</w:t>
            </w:r>
            <w:r w:rsidRPr="00994555">
              <w:rPr>
                <w:rFonts w:ascii="Verdana" w:hAnsi="Verdana" w:cs="Arial"/>
                <w:sz w:val="20"/>
                <w:szCs w:val="20"/>
              </w:rPr>
              <w:t xml:space="preserve"> a que</w:t>
            </w:r>
            <w:r w:rsidR="00007EA0">
              <w:rPr>
                <w:rFonts w:ascii="Verdana" w:hAnsi="Verdana" w:cs="Arial"/>
                <w:sz w:val="20"/>
                <w:szCs w:val="20"/>
              </w:rPr>
              <w:t xml:space="preserve"> </w:t>
            </w:r>
            <w:r w:rsidR="00662352">
              <w:rPr>
                <w:rFonts w:ascii="Verdana" w:hAnsi="Verdana" w:cs="Arial"/>
                <w:sz w:val="20"/>
                <w:szCs w:val="20"/>
              </w:rPr>
              <w:t xml:space="preserve">no se tramitaron todos los contratos que se tenían previstos por el rubro de Contrapartida </w:t>
            </w:r>
            <w:r w:rsidR="00B362ED">
              <w:rPr>
                <w:rFonts w:ascii="Verdana" w:hAnsi="Verdana" w:cs="Arial"/>
                <w:sz w:val="20"/>
                <w:szCs w:val="20"/>
              </w:rPr>
              <w:t xml:space="preserve"> y </w:t>
            </w:r>
            <w:r w:rsidR="00DC4DC8">
              <w:rPr>
                <w:rFonts w:ascii="Verdana" w:hAnsi="Verdana" w:cs="Arial"/>
                <w:sz w:val="20"/>
                <w:szCs w:val="20"/>
              </w:rPr>
              <w:t xml:space="preserve"> </w:t>
            </w:r>
            <w:r w:rsidR="00B362ED">
              <w:rPr>
                <w:rFonts w:ascii="Verdana" w:hAnsi="Verdana" w:cs="Arial"/>
                <w:sz w:val="20"/>
                <w:szCs w:val="20"/>
              </w:rPr>
              <w:t xml:space="preserve">por </w:t>
            </w:r>
            <w:r w:rsidR="00DC4DC8">
              <w:rPr>
                <w:rFonts w:ascii="Verdana" w:hAnsi="Verdana" w:cs="Arial"/>
                <w:sz w:val="20"/>
                <w:szCs w:val="20"/>
              </w:rPr>
              <w:t>Administración de Recursos</w:t>
            </w:r>
            <w:r w:rsidR="00B362ED">
              <w:rPr>
                <w:rFonts w:ascii="Verdana" w:hAnsi="Verdana" w:cs="Arial"/>
                <w:sz w:val="20"/>
                <w:szCs w:val="20"/>
              </w:rPr>
              <w:t>, a pesar de presentar déficit por Inversión</w:t>
            </w:r>
            <w:r w:rsidR="007B152B">
              <w:rPr>
                <w:rFonts w:ascii="Verdana" w:hAnsi="Verdana" w:cs="Arial"/>
                <w:sz w:val="20"/>
                <w:szCs w:val="20"/>
              </w:rPr>
              <w:t>,</w:t>
            </w:r>
            <w:r w:rsidR="00B362ED">
              <w:rPr>
                <w:rFonts w:ascii="Verdana" w:hAnsi="Verdana" w:cs="Arial"/>
                <w:sz w:val="20"/>
                <w:szCs w:val="20"/>
              </w:rPr>
              <w:t xml:space="preserve"> el rubro de </w:t>
            </w:r>
            <w:r w:rsidR="00DC4DC8">
              <w:rPr>
                <w:rFonts w:ascii="Verdana" w:hAnsi="Verdana" w:cs="Arial"/>
                <w:sz w:val="20"/>
                <w:szCs w:val="20"/>
              </w:rPr>
              <w:t>Fortalecimiento de las Capacidades Tecnológicas</w:t>
            </w:r>
            <w:r w:rsidR="007B152B">
              <w:rPr>
                <w:rFonts w:ascii="Verdana" w:hAnsi="Verdana" w:cs="Arial"/>
                <w:sz w:val="20"/>
                <w:szCs w:val="20"/>
              </w:rPr>
              <w:t xml:space="preserve"> </w:t>
            </w:r>
            <w:r w:rsidR="005F7AFE">
              <w:rPr>
                <w:rFonts w:ascii="Verdana" w:hAnsi="Verdana" w:cs="Arial"/>
                <w:sz w:val="20"/>
                <w:szCs w:val="20"/>
              </w:rPr>
              <w:t>presenta superávit</w:t>
            </w:r>
            <w:r w:rsidR="007B152B">
              <w:rPr>
                <w:rFonts w:ascii="Verdana" w:hAnsi="Verdana" w:cs="Arial"/>
                <w:sz w:val="20"/>
                <w:szCs w:val="20"/>
              </w:rPr>
              <w:t xml:space="preserve">, </w:t>
            </w:r>
            <w:r w:rsidR="00B362ED">
              <w:rPr>
                <w:rFonts w:ascii="Verdana" w:hAnsi="Verdana" w:cs="Arial"/>
                <w:sz w:val="20"/>
                <w:szCs w:val="20"/>
              </w:rPr>
              <w:t>cumplió con</w:t>
            </w:r>
            <w:r w:rsidR="00DC4DC8">
              <w:rPr>
                <w:rFonts w:ascii="Verdana" w:hAnsi="Verdana" w:cs="Arial"/>
                <w:sz w:val="20"/>
                <w:szCs w:val="20"/>
              </w:rPr>
              <w:t xml:space="preserve"> la meta p</w:t>
            </w:r>
            <w:r w:rsidR="00B362ED">
              <w:rPr>
                <w:rFonts w:ascii="Verdana" w:hAnsi="Verdana" w:cs="Arial"/>
                <w:sz w:val="20"/>
                <w:szCs w:val="20"/>
              </w:rPr>
              <w:t>ropuesta.</w:t>
            </w:r>
          </w:p>
          <w:p w:rsidR="00B362ED" w:rsidRPr="00B362ED" w:rsidRDefault="00B362ED" w:rsidP="005F4A60">
            <w:pPr>
              <w:jc w:val="both"/>
              <w:rPr>
                <w:rFonts w:ascii="Verdana" w:hAnsi="Verdana" w:cs="Arial"/>
                <w:sz w:val="20"/>
                <w:szCs w:val="20"/>
              </w:rPr>
            </w:pPr>
          </w:p>
          <w:p w:rsidR="00902BE7" w:rsidRPr="00902BE7" w:rsidRDefault="00902BE7" w:rsidP="005F4A60">
            <w:pPr>
              <w:jc w:val="both"/>
              <w:rPr>
                <w:rFonts w:ascii="Verdana" w:hAnsi="Verdana" w:cs="Arial"/>
                <w:sz w:val="20"/>
                <w:szCs w:val="20"/>
              </w:rPr>
            </w:pPr>
            <w:r w:rsidRPr="00902BE7">
              <w:rPr>
                <w:rFonts w:ascii="Verdana" w:hAnsi="Verdana" w:cs="Arial"/>
                <w:sz w:val="20"/>
                <w:szCs w:val="20"/>
                <w:lang w:val="es-CO"/>
              </w:rPr>
              <w:lastRenderedPageBreak/>
              <w:t xml:space="preserve">El </w:t>
            </w:r>
            <w:r w:rsidR="003C0FF4">
              <w:rPr>
                <w:rFonts w:ascii="Verdana" w:hAnsi="Verdana" w:cs="Arial"/>
                <w:sz w:val="20"/>
                <w:szCs w:val="20"/>
                <w:lang w:val="es-CO"/>
              </w:rPr>
              <w:t>46</w:t>
            </w:r>
            <w:r w:rsidR="00E80DA3">
              <w:rPr>
                <w:rFonts w:ascii="Verdana" w:hAnsi="Verdana" w:cs="Arial"/>
                <w:sz w:val="20"/>
                <w:szCs w:val="20"/>
                <w:lang w:val="es-CO"/>
              </w:rPr>
              <w:t>,</w:t>
            </w:r>
            <w:r w:rsidR="003C0FF4">
              <w:rPr>
                <w:rFonts w:ascii="Verdana" w:hAnsi="Verdana" w:cs="Arial"/>
                <w:sz w:val="20"/>
                <w:szCs w:val="20"/>
                <w:lang w:val="es-CO"/>
              </w:rPr>
              <w:t>41</w:t>
            </w:r>
            <w:r w:rsidRPr="00902BE7">
              <w:rPr>
                <w:rFonts w:ascii="Verdana" w:hAnsi="Verdana" w:cs="Arial"/>
                <w:sz w:val="20"/>
                <w:szCs w:val="20"/>
                <w:lang w:val="es-CO"/>
              </w:rPr>
              <w:t xml:space="preserve">% de la ejecución corresponde a los gastos de funcionamiento y el </w:t>
            </w:r>
            <w:r w:rsidR="003C0FF4">
              <w:rPr>
                <w:rFonts w:ascii="Verdana" w:hAnsi="Verdana" w:cs="Arial"/>
                <w:sz w:val="20"/>
                <w:szCs w:val="20"/>
                <w:lang w:val="es-CO"/>
              </w:rPr>
              <w:t>53,59</w:t>
            </w:r>
            <w:r w:rsidRPr="00902BE7">
              <w:rPr>
                <w:rFonts w:ascii="Verdana" w:hAnsi="Verdana" w:cs="Arial"/>
                <w:sz w:val="20"/>
                <w:szCs w:val="20"/>
                <w:lang w:val="es-CO"/>
              </w:rPr>
              <w:t>% a los gastos de inversión</w:t>
            </w:r>
            <w:r w:rsidRPr="00902BE7">
              <w:rPr>
                <w:rFonts w:ascii="Verdana" w:hAnsi="Verdana" w:cs="Arial"/>
                <w:sz w:val="20"/>
                <w:szCs w:val="20"/>
              </w:rPr>
              <w:t>.</w:t>
            </w:r>
          </w:p>
          <w:p w:rsidR="00E279ED" w:rsidRPr="00882814" w:rsidRDefault="00E279ED" w:rsidP="005F4A60">
            <w:pPr>
              <w:jc w:val="both"/>
              <w:rPr>
                <w:rFonts w:ascii="Verdana" w:hAnsi="Verdana"/>
                <w:sz w:val="18"/>
                <w:szCs w:val="20"/>
              </w:rPr>
            </w:pPr>
          </w:p>
          <w:p w:rsidR="00CE00C6" w:rsidRPr="00882814" w:rsidRDefault="00902BE7" w:rsidP="005F4A60">
            <w:pPr>
              <w:jc w:val="both"/>
              <w:rPr>
                <w:rFonts w:ascii="Verdana" w:hAnsi="Verdana" w:cs="Arial"/>
                <w:sz w:val="20"/>
                <w:szCs w:val="20"/>
              </w:rPr>
            </w:pPr>
            <w:r w:rsidRPr="00882814">
              <w:rPr>
                <w:rFonts w:ascii="Verdana" w:hAnsi="Verdana" w:cs="Arial"/>
                <w:sz w:val="20"/>
                <w:szCs w:val="20"/>
              </w:rPr>
              <w:t xml:space="preserve">La ejecución de los gastos de funcionamiento estuvo distribuida de la siguiente manera: </w:t>
            </w:r>
          </w:p>
          <w:p w:rsidR="00902BE7" w:rsidRPr="00882814" w:rsidRDefault="00902BE7" w:rsidP="005F4A60">
            <w:pPr>
              <w:jc w:val="both"/>
              <w:rPr>
                <w:rFonts w:ascii="Verdana" w:hAnsi="Verdana" w:cs="Arial"/>
                <w:sz w:val="20"/>
                <w:szCs w:val="20"/>
              </w:rPr>
            </w:pPr>
            <w:r w:rsidRPr="00882814">
              <w:rPr>
                <w:rFonts w:ascii="Verdana" w:hAnsi="Verdana" w:cs="Arial"/>
                <w:sz w:val="20"/>
                <w:szCs w:val="20"/>
              </w:rPr>
              <w:t xml:space="preserve">1) Los gastos de personal representan el </w:t>
            </w:r>
            <w:r w:rsidR="00961379">
              <w:rPr>
                <w:rFonts w:ascii="Verdana" w:hAnsi="Verdana" w:cs="Arial"/>
                <w:sz w:val="20"/>
                <w:szCs w:val="20"/>
              </w:rPr>
              <w:t>38,89</w:t>
            </w:r>
            <w:r w:rsidRPr="00882814">
              <w:rPr>
                <w:rFonts w:ascii="Verdana" w:hAnsi="Verdana" w:cs="Arial"/>
                <w:sz w:val="20"/>
                <w:szCs w:val="20"/>
              </w:rPr>
              <w:t>%.</w:t>
            </w:r>
          </w:p>
          <w:p w:rsidR="00902BE7" w:rsidRPr="00882814" w:rsidRDefault="00902BE7" w:rsidP="005F4A60">
            <w:pPr>
              <w:jc w:val="both"/>
              <w:rPr>
                <w:rFonts w:ascii="Verdana" w:hAnsi="Verdana" w:cs="Arial"/>
                <w:sz w:val="20"/>
                <w:szCs w:val="20"/>
              </w:rPr>
            </w:pPr>
            <w:r w:rsidRPr="00882814">
              <w:rPr>
                <w:rFonts w:ascii="Verdana" w:hAnsi="Verdana" w:cs="Arial"/>
                <w:sz w:val="20"/>
                <w:szCs w:val="20"/>
              </w:rPr>
              <w:t xml:space="preserve">2) Los gastos por adquisición de bienes y servicios representan el </w:t>
            </w:r>
            <w:r w:rsidR="00961379">
              <w:rPr>
                <w:rFonts w:ascii="Verdana" w:hAnsi="Verdana" w:cs="Arial"/>
                <w:sz w:val="20"/>
                <w:szCs w:val="20"/>
              </w:rPr>
              <w:t>18,45</w:t>
            </w:r>
            <w:r w:rsidRPr="00882814">
              <w:rPr>
                <w:rFonts w:ascii="Verdana" w:hAnsi="Verdana" w:cs="Arial"/>
                <w:sz w:val="20"/>
                <w:szCs w:val="20"/>
              </w:rPr>
              <w:t>%.</w:t>
            </w:r>
          </w:p>
          <w:p w:rsidR="00902BE7" w:rsidRDefault="00902BE7" w:rsidP="005F4A60">
            <w:pPr>
              <w:jc w:val="both"/>
              <w:rPr>
                <w:rFonts w:ascii="Verdana" w:hAnsi="Verdana" w:cs="Arial"/>
                <w:sz w:val="20"/>
                <w:szCs w:val="20"/>
              </w:rPr>
            </w:pPr>
            <w:r w:rsidRPr="00882814">
              <w:rPr>
                <w:rFonts w:ascii="Verdana" w:hAnsi="Verdana" w:cs="Arial"/>
                <w:sz w:val="20"/>
                <w:szCs w:val="20"/>
              </w:rPr>
              <w:t xml:space="preserve">3) Los gastos de transferencias corrientes representan el </w:t>
            </w:r>
            <w:r w:rsidR="00961379">
              <w:rPr>
                <w:rFonts w:ascii="Verdana" w:hAnsi="Verdana" w:cs="Arial"/>
                <w:sz w:val="20"/>
                <w:szCs w:val="20"/>
              </w:rPr>
              <w:t>47,66%, el 47,53</w:t>
            </w:r>
            <w:r w:rsidR="00882814" w:rsidRPr="00882814">
              <w:rPr>
                <w:rFonts w:ascii="Verdana" w:hAnsi="Verdana" w:cs="Arial"/>
                <w:sz w:val="20"/>
                <w:szCs w:val="20"/>
              </w:rPr>
              <w:t>%</w:t>
            </w:r>
            <w:r w:rsidRPr="00882814">
              <w:rPr>
                <w:rFonts w:ascii="Verdana" w:hAnsi="Verdana" w:cs="Arial"/>
                <w:sz w:val="20"/>
                <w:szCs w:val="20"/>
              </w:rPr>
              <w:t xml:space="preserve"> correspondientes a gastos del Fondo de Cooperación y Asistencia Internacional – FOCAI</w:t>
            </w:r>
            <w:r w:rsidR="00882814" w:rsidRPr="00882814">
              <w:rPr>
                <w:rFonts w:ascii="Verdana" w:hAnsi="Verdana" w:cs="Arial"/>
                <w:sz w:val="20"/>
                <w:szCs w:val="20"/>
              </w:rPr>
              <w:t xml:space="preserve"> Y el </w:t>
            </w:r>
            <w:r w:rsidR="00962106">
              <w:rPr>
                <w:rFonts w:ascii="Verdana" w:hAnsi="Verdana" w:cs="Arial"/>
                <w:sz w:val="20"/>
                <w:szCs w:val="20"/>
              </w:rPr>
              <w:t>0,1</w:t>
            </w:r>
            <w:r w:rsidR="00961379">
              <w:rPr>
                <w:rFonts w:ascii="Verdana" w:hAnsi="Verdana" w:cs="Arial"/>
                <w:sz w:val="20"/>
                <w:szCs w:val="20"/>
              </w:rPr>
              <w:t>3</w:t>
            </w:r>
            <w:r w:rsidR="00882814" w:rsidRPr="00882814">
              <w:rPr>
                <w:rFonts w:ascii="Verdana" w:hAnsi="Verdana" w:cs="Arial"/>
                <w:sz w:val="20"/>
                <w:szCs w:val="20"/>
              </w:rPr>
              <w:t>% a Incapacidades y Licencias de maternidad</w:t>
            </w:r>
            <w:r w:rsidR="007C7246">
              <w:rPr>
                <w:rFonts w:ascii="Verdana" w:hAnsi="Verdana" w:cs="Arial"/>
                <w:sz w:val="20"/>
                <w:szCs w:val="20"/>
              </w:rPr>
              <w:t xml:space="preserve"> y paternidad</w:t>
            </w:r>
            <w:r w:rsidR="00882814" w:rsidRPr="00882814">
              <w:rPr>
                <w:rFonts w:ascii="Verdana" w:hAnsi="Verdana" w:cs="Arial"/>
                <w:sz w:val="20"/>
                <w:szCs w:val="20"/>
              </w:rPr>
              <w:t>.</w:t>
            </w:r>
          </w:p>
          <w:p w:rsidR="008B1B31" w:rsidRPr="00902BE7" w:rsidRDefault="008B1B31" w:rsidP="005F4A60">
            <w:pPr>
              <w:jc w:val="both"/>
              <w:rPr>
                <w:rFonts w:ascii="Verdana" w:hAnsi="Verdana" w:cs="Arial"/>
                <w:sz w:val="20"/>
                <w:szCs w:val="20"/>
              </w:rPr>
            </w:pPr>
          </w:p>
          <w:p w:rsidR="00902BE7" w:rsidRDefault="00902BE7" w:rsidP="005F4A60">
            <w:pPr>
              <w:jc w:val="both"/>
              <w:rPr>
                <w:rFonts w:ascii="Verdana" w:hAnsi="Verdana" w:cs="Arial"/>
                <w:sz w:val="20"/>
                <w:szCs w:val="20"/>
              </w:rPr>
            </w:pPr>
            <w:r w:rsidRPr="00F55472">
              <w:rPr>
                <w:rFonts w:ascii="Verdana" w:hAnsi="Verdana" w:cs="Arial"/>
                <w:sz w:val="20"/>
                <w:szCs w:val="20"/>
              </w:rPr>
              <w:t>La ejecución de</w:t>
            </w:r>
            <w:r w:rsidRPr="00902BE7">
              <w:rPr>
                <w:rFonts w:ascii="Verdana" w:hAnsi="Verdana" w:cs="Arial"/>
                <w:sz w:val="20"/>
                <w:szCs w:val="20"/>
              </w:rPr>
              <w:t xml:space="preserve"> los gastos de inversión estuvo distribuida así: </w:t>
            </w:r>
          </w:p>
          <w:p w:rsidR="00BD3100" w:rsidRDefault="00BD3100" w:rsidP="00897534">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w:t>
            </w:r>
            <w:r w:rsidR="00101571">
              <w:rPr>
                <w:rFonts w:ascii="Verdana" w:hAnsi="Verdana" w:cs="Arial"/>
                <w:sz w:val="20"/>
                <w:szCs w:val="20"/>
              </w:rPr>
              <w:t>6,55</w:t>
            </w:r>
            <w:r>
              <w:rPr>
                <w:rFonts w:ascii="Verdana" w:hAnsi="Verdana" w:cs="Arial"/>
                <w:sz w:val="20"/>
                <w:szCs w:val="20"/>
              </w:rPr>
              <w:t>% de la ejecución de inversión, equivalente a 1.323,5 para el contrato con el ICETEX.</w:t>
            </w:r>
          </w:p>
          <w:p w:rsidR="00897534" w:rsidRDefault="00BD3100" w:rsidP="00897534">
            <w:pPr>
              <w:jc w:val="both"/>
              <w:rPr>
                <w:rFonts w:ascii="Verdana" w:hAnsi="Verdana" w:cs="Arial"/>
                <w:sz w:val="20"/>
                <w:szCs w:val="20"/>
              </w:rPr>
            </w:pPr>
            <w:r>
              <w:rPr>
                <w:rFonts w:ascii="Verdana" w:hAnsi="Verdana" w:cs="Arial"/>
                <w:sz w:val="20"/>
                <w:szCs w:val="20"/>
              </w:rPr>
              <w:t>2</w:t>
            </w:r>
            <w:r w:rsidR="00BD6CAD">
              <w:rPr>
                <w:rFonts w:ascii="Verdana" w:hAnsi="Verdana" w:cs="Arial"/>
                <w:sz w:val="20"/>
                <w:szCs w:val="20"/>
              </w:rPr>
              <w:t>)</w:t>
            </w:r>
            <w:r w:rsidR="00BD6CAD">
              <w:t xml:space="preserve"> I</w:t>
            </w:r>
            <w:r w:rsidR="00BD6CAD" w:rsidRPr="00BD6CAD">
              <w:rPr>
                <w:rFonts w:ascii="Verdana" w:hAnsi="Verdana" w:cs="Arial"/>
                <w:sz w:val="20"/>
                <w:szCs w:val="20"/>
              </w:rPr>
              <w:t xml:space="preserve">mplementación de proyectos de cooperación internacional no reembolsable con aporte de recursos de </w:t>
            </w:r>
            <w:r w:rsidR="00193027" w:rsidRPr="00BD6CAD">
              <w:rPr>
                <w:rFonts w:ascii="Verdana" w:hAnsi="Verdana" w:cs="Arial"/>
                <w:sz w:val="20"/>
                <w:szCs w:val="20"/>
              </w:rPr>
              <w:t>contrapartida nacional</w:t>
            </w:r>
            <w:r w:rsidR="00BD6CAD">
              <w:rPr>
                <w:rFonts w:ascii="Verdana" w:hAnsi="Verdana" w:cs="Arial"/>
                <w:sz w:val="20"/>
                <w:szCs w:val="20"/>
              </w:rPr>
              <w:t xml:space="preserve"> con el </w:t>
            </w:r>
            <w:r w:rsidR="00101571">
              <w:rPr>
                <w:rFonts w:ascii="Verdana" w:hAnsi="Verdana" w:cs="Arial"/>
                <w:sz w:val="20"/>
                <w:szCs w:val="20"/>
              </w:rPr>
              <w:t>5,91</w:t>
            </w:r>
            <w:r w:rsidR="00BD6CAD">
              <w:rPr>
                <w:rFonts w:ascii="Verdana" w:hAnsi="Verdana" w:cs="Arial"/>
                <w:sz w:val="20"/>
                <w:szCs w:val="20"/>
              </w:rPr>
              <w:t>%</w:t>
            </w:r>
            <w:r w:rsidR="00897534">
              <w:rPr>
                <w:rFonts w:ascii="Verdana" w:hAnsi="Verdana" w:cs="Arial"/>
                <w:sz w:val="20"/>
                <w:szCs w:val="20"/>
              </w:rPr>
              <w:t xml:space="preserve"> de la ejecución de inversión, equivalente a </w:t>
            </w:r>
            <w:r w:rsidR="00101571">
              <w:rPr>
                <w:rFonts w:ascii="Verdana" w:hAnsi="Verdana" w:cs="Arial"/>
                <w:sz w:val="20"/>
                <w:szCs w:val="20"/>
              </w:rPr>
              <w:t>1.194,3</w:t>
            </w:r>
            <w:r w:rsidR="00897534">
              <w:rPr>
                <w:rFonts w:ascii="Verdana" w:hAnsi="Verdana" w:cs="Arial"/>
                <w:sz w:val="20"/>
                <w:szCs w:val="20"/>
              </w:rPr>
              <w:t xml:space="preserve"> millones para </w:t>
            </w:r>
            <w:r w:rsidR="00C00B2D">
              <w:rPr>
                <w:rFonts w:ascii="Verdana" w:hAnsi="Verdana" w:cs="Arial"/>
                <w:sz w:val="20"/>
                <w:szCs w:val="20"/>
              </w:rPr>
              <w:t>los</w:t>
            </w:r>
            <w:r w:rsidR="00897534">
              <w:rPr>
                <w:rFonts w:ascii="Verdana" w:hAnsi="Verdana" w:cs="Arial"/>
                <w:sz w:val="20"/>
                <w:szCs w:val="20"/>
              </w:rPr>
              <w:t xml:space="preserve"> Convenio</w:t>
            </w:r>
            <w:r w:rsidR="00C00B2D">
              <w:rPr>
                <w:rFonts w:ascii="Verdana" w:hAnsi="Verdana" w:cs="Arial"/>
                <w:sz w:val="20"/>
                <w:szCs w:val="20"/>
              </w:rPr>
              <w:t>s</w:t>
            </w:r>
            <w:r w:rsidR="00897534">
              <w:rPr>
                <w:rFonts w:ascii="Verdana" w:hAnsi="Verdana" w:cs="Arial"/>
                <w:sz w:val="20"/>
                <w:szCs w:val="20"/>
              </w:rPr>
              <w:t xml:space="preserve"> interadministrativo</w:t>
            </w:r>
            <w:r w:rsidR="00C00B2D">
              <w:rPr>
                <w:rFonts w:ascii="Verdana" w:hAnsi="Verdana" w:cs="Arial"/>
                <w:sz w:val="20"/>
                <w:szCs w:val="20"/>
              </w:rPr>
              <w:t>s</w:t>
            </w:r>
            <w:r w:rsidR="002F14C2">
              <w:rPr>
                <w:rFonts w:ascii="Verdana" w:hAnsi="Verdana" w:cs="Arial"/>
                <w:sz w:val="20"/>
                <w:szCs w:val="20"/>
              </w:rPr>
              <w:t xml:space="preserve">, </w:t>
            </w:r>
            <w:r w:rsidR="00897534">
              <w:rPr>
                <w:rFonts w:ascii="Verdana" w:hAnsi="Verdana" w:cs="Arial"/>
                <w:sz w:val="20"/>
                <w:szCs w:val="20"/>
              </w:rPr>
              <w:t>con el Hospital local de T</w:t>
            </w:r>
            <w:r w:rsidR="00AC7F2D">
              <w:rPr>
                <w:rFonts w:ascii="Verdana" w:hAnsi="Verdana" w:cs="Arial"/>
                <w:sz w:val="20"/>
                <w:szCs w:val="20"/>
              </w:rPr>
              <w:t>auramena, C</w:t>
            </w:r>
            <w:r w:rsidR="00C00B2D">
              <w:rPr>
                <w:rFonts w:ascii="Verdana" w:hAnsi="Verdana" w:cs="Arial"/>
                <w:sz w:val="20"/>
                <w:szCs w:val="20"/>
              </w:rPr>
              <w:t xml:space="preserve">onvenio de </w:t>
            </w:r>
            <w:r w:rsidR="00193027">
              <w:rPr>
                <w:rFonts w:ascii="Verdana" w:hAnsi="Verdana" w:cs="Arial"/>
                <w:sz w:val="20"/>
                <w:szCs w:val="20"/>
              </w:rPr>
              <w:t>asociación con</w:t>
            </w:r>
            <w:r w:rsidR="00C00B2D">
              <w:rPr>
                <w:rFonts w:ascii="Verdana" w:hAnsi="Verdana" w:cs="Arial"/>
                <w:sz w:val="20"/>
                <w:szCs w:val="20"/>
              </w:rPr>
              <w:t xml:space="preserve"> La Fundación Plan</w:t>
            </w:r>
            <w:r w:rsidR="00101571">
              <w:rPr>
                <w:rFonts w:ascii="Verdana" w:hAnsi="Verdana" w:cs="Arial"/>
                <w:sz w:val="20"/>
                <w:szCs w:val="20"/>
              </w:rPr>
              <w:t>,</w:t>
            </w:r>
            <w:r w:rsidR="00AC7F2D">
              <w:rPr>
                <w:rFonts w:ascii="Verdana" w:hAnsi="Verdana" w:cs="Arial"/>
                <w:sz w:val="20"/>
                <w:szCs w:val="20"/>
              </w:rPr>
              <w:t xml:space="preserve"> </w:t>
            </w:r>
            <w:r w:rsidR="00101571" w:rsidRPr="00101571">
              <w:rPr>
                <w:rFonts w:ascii="Verdana" w:hAnsi="Verdana" w:cs="Arial"/>
                <w:sz w:val="20"/>
                <w:szCs w:val="20"/>
              </w:rPr>
              <w:t xml:space="preserve">Convenio </w:t>
            </w:r>
            <w:r w:rsidR="00101571">
              <w:rPr>
                <w:rFonts w:ascii="Verdana" w:hAnsi="Verdana" w:cs="Arial"/>
                <w:sz w:val="20"/>
                <w:szCs w:val="20"/>
              </w:rPr>
              <w:t xml:space="preserve">con </w:t>
            </w:r>
            <w:r w:rsidR="00101571" w:rsidRPr="00101571">
              <w:rPr>
                <w:rFonts w:ascii="Verdana" w:hAnsi="Verdana" w:cs="Arial"/>
                <w:sz w:val="20"/>
                <w:szCs w:val="20"/>
              </w:rPr>
              <w:t>Cuso International</w:t>
            </w:r>
            <w:r w:rsidR="00AC7F2D">
              <w:rPr>
                <w:rFonts w:ascii="Verdana" w:hAnsi="Verdana" w:cs="Arial"/>
                <w:sz w:val="20"/>
                <w:szCs w:val="20"/>
              </w:rPr>
              <w:t xml:space="preserve"> </w:t>
            </w:r>
            <w:r w:rsidR="00101571">
              <w:rPr>
                <w:rFonts w:ascii="Verdana" w:hAnsi="Verdana" w:cs="Arial"/>
                <w:sz w:val="20"/>
                <w:szCs w:val="20"/>
              </w:rPr>
              <w:t xml:space="preserve">y </w:t>
            </w:r>
            <w:r w:rsidR="00193027">
              <w:rPr>
                <w:rFonts w:ascii="Verdana" w:hAnsi="Verdana" w:cs="Arial"/>
                <w:sz w:val="20"/>
                <w:szCs w:val="20"/>
              </w:rPr>
              <w:t>Convenio con</w:t>
            </w:r>
            <w:r w:rsidR="00101571">
              <w:rPr>
                <w:rFonts w:ascii="Verdana" w:hAnsi="Verdana" w:cs="Arial"/>
                <w:sz w:val="20"/>
                <w:szCs w:val="20"/>
              </w:rPr>
              <w:t xml:space="preserve"> el </w:t>
            </w:r>
            <w:r w:rsidR="00101571" w:rsidRPr="00101571">
              <w:rPr>
                <w:rFonts w:ascii="Verdana" w:hAnsi="Verdana" w:cs="Arial"/>
                <w:sz w:val="20"/>
                <w:szCs w:val="20"/>
              </w:rPr>
              <w:t>Instituto De Investigación De Recursos Biológicos Alexander Von Humboldt</w:t>
            </w:r>
            <w:r w:rsidR="00AC7F2D">
              <w:rPr>
                <w:rFonts w:ascii="Verdana" w:hAnsi="Verdana" w:cs="Arial"/>
                <w:sz w:val="20"/>
                <w:szCs w:val="20"/>
              </w:rPr>
              <w:t>.</w:t>
            </w:r>
          </w:p>
          <w:p w:rsidR="00902BE7" w:rsidRPr="00902BE7" w:rsidRDefault="00BD3100" w:rsidP="005F4A60">
            <w:pPr>
              <w:jc w:val="both"/>
              <w:rPr>
                <w:rFonts w:ascii="Verdana" w:hAnsi="Verdana" w:cs="Arial"/>
                <w:sz w:val="20"/>
                <w:szCs w:val="20"/>
              </w:rPr>
            </w:pPr>
            <w:r>
              <w:rPr>
                <w:rFonts w:ascii="Verdana" w:hAnsi="Verdana" w:cs="Arial"/>
                <w:sz w:val="20"/>
                <w:szCs w:val="20"/>
              </w:rPr>
              <w:t>3</w:t>
            </w:r>
            <w:r w:rsidR="00902BE7" w:rsidRPr="00902BE7">
              <w:rPr>
                <w:rFonts w:ascii="Verdana" w:hAnsi="Verdana" w:cs="Arial"/>
                <w:sz w:val="20"/>
                <w:szCs w:val="20"/>
              </w:rPr>
              <w:t xml:space="preserve">) Administración de Recursos de Cooperación con el </w:t>
            </w:r>
            <w:r w:rsidR="00193027">
              <w:rPr>
                <w:rFonts w:ascii="Verdana" w:hAnsi="Verdana" w:cs="Arial"/>
                <w:sz w:val="20"/>
                <w:szCs w:val="20"/>
              </w:rPr>
              <w:t>84,55</w:t>
            </w:r>
            <w:r w:rsidR="00902BE7" w:rsidRPr="00902BE7">
              <w:rPr>
                <w:rFonts w:ascii="Verdana" w:hAnsi="Verdana" w:cs="Arial"/>
                <w:sz w:val="20"/>
                <w:szCs w:val="20"/>
              </w:rPr>
              <w:t xml:space="preserve">% de la ejecución en inversión, equivalente a </w:t>
            </w:r>
            <w:r w:rsidR="00193027">
              <w:rPr>
                <w:rFonts w:ascii="Verdana" w:hAnsi="Verdana" w:cs="Arial"/>
                <w:sz w:val="20"/>
                <w:szCs w:val="20"/>
              </w:rPr>
              <w:t>17.096,4</w:t>
            </w:r>
            <w:r w:rsidR="00521F6F">
              <w:rPr>
                <w:rFonts w:ascii="Verdana" w:hAnsi="Verdana" w:cs="Arial"/>
                <w:sz w:val="20"/>
                <w:szCs w:val="20"/>
              </w:rPr>
              <w:t xml:space="preserve"> </w:t>
            </w:r>
            <w:r w:rsidR="00902BE7" w:rsidRPr="00902BE7">
              <w:rPr>
                <w:rFonts w:ascii="Verdana" w:hAnsi="Verdana" w:cs="Arial"/>
                <w:sz w:val="20"/>
                <w:szCs w:val="20"/>
              </w:rPr>
              <w:t xml:space="preserve">millones, distribuidos así: </w:t>
            </w:r>
          </w:p>
          <w:p w:rsidR="00902BE7" w:rsidRPr="00902BE7" w:rsidRDefault="00902BE7" w:rsidP="005F4A60">
            <w:pPr>
              <w:jc w:val="both"/>
              <w:rPr>
                <w:rFonts w:ascii="Verdana" w:hAnsi="Verdana" w:cs="Arial"/>
                <w:sz w:val="20"/>
                <w:szCs w:val="20"/>
              </w:rPr>
            </w:pPr>
            <w:r w:rsidRPr="00902BE7">
              <w:rPr>
                <w:rFonts w:ascii="Verdana" w:hAnsi="Verdana" w:cs="Arial"/>
                <w:sz w:val="20"/>
                <w:szCs w:val="20"/>
              </w:rPr>
              <w:t xml:space="preserve">a) </w:t>
            </w:r>
            <w:r w:rsidR="00C71F8F">
              <w:rPr>
                <w:rFonts w:ascii="Verdana" w:hAnsi="Verdana" w:cs="Arial"/>
                <w:sz w:val="20"/>
                <w:szCs w:val="20"/>
              </w:rPr>
              <w:t>628,8</w:t>
            </w:r>
            <w:r w:rsidRPr="00902BE7">
              <w:rPr>
                <w:rFonts w:ascii="Verdana" w:hAnsi="Verdana" w:cs="Arial"/>
                <w:sz w:val="20"/>
                <w:szCs w:val="20"/>
              </w:rPr>
              <w:t xml:space="preserve"> millones del proyecto, denominado “Inclusión Social de Personas con Discapacidad mediante el Deporte: Fortalecimiento de Estructuras Nacionales Paralímpicas”</w:t>
            </w:r>
          </w:p>
          <w:p w:rsidR="00902BE7" w:rsidRPr="00902BE7" w:rsidRDefault="00994555" w:rsidP="005F4A60">
            <w:pPr>
              <w:jc w:val="both"/>
              <w:rPr>
                <w:rFonts w:ascii="Verdana" w:hAnsi="Verdana" w:cs="Arial"/>
                <w:sz w:val="20"/>
                <w:szCs w:val="20"/>
              </w:rPr>
            </w:pPr>
            <w:r>
              <w:rPr>
                <w:rFonts w:ascii="Verdana" w:hAnsi="Verdana" w:cs="Arial"/>
                <w:sz w:val="20"/>
                <w:szCs w:val="20"/>
              </w:rPr>
              <w:t xml:space="preserve">b) </w:t>
            </w:r>
            <w:r w:rsidR="00A71450">
              <w:rPr>
                <w:rFonts w:ascii="Verdana" w:hAnsi="Verdana" w:cs="Arial"/>
                <w:sz w:val="20"/>
                <w:szCs w:val="20"/>
              </w:rPr>
              <w:t>2.044,8</w:t>
            </w:r>
            <w:r w:rsidR="00902BE7" w:rsidRPr="00902BE7">
              <w:rPr>
                <w:rFonts w:ascii="Verdana" w:hAnsi="Verdana" w:cs="Arial"/>
                <w:sz w:val="20"/>
                <w:szCs w:val="20"/>
              </w:rPr>
              <w:t xml:space="preserve"> millones del proyecto “Estrategia regional de emprendimiento” financiado con recursos donados por la Unión Europea.</w:t>
            </w:r>
          </w:p>
          <w:p w:rsidR="00902BE7" w:rsidRDefault="00902BE7" w:rsidP="005F4A60">
            <w:pPr>
              <w:jc w:val="both"/>
              <w:rPr>
                <w:rFonts w:ascii="Verdana" w:hAnsi="Verdana" w:cs="Arial"/>
                <w:sz w:val="20"/>
                <w:szCs w:val="20"/>
              </w:rPr>
            </w:pPr>
            <w:r w:rsidRPr="00902BE7">
              <w:rPr>
                <w:rFonts w:ascii="Verdana" w:hAnsi="Verdana" w:cs="Arial"/>
                <w:sz w:val="20"/>
                <w:szCs w:val="20"/>
              </w:rPr>
              <w:lastRenderedPageBreak/>
              <w:t xml:space="preserve">c) </w:t>
            </w:r>
            <w:r w:rsidR="00A71450">
              <w:rPr>
                <w:rFonts w:ascii="Verdana" w:hAnsi="Verdana" w:cs="Arial"/>
                <w:sz w:val="20"/>
                <w:szCs w:val="20"/>
              </w:rPr>
              <w:t>14.008,8</w:t>
            </w:r>
            <w:r w:rsidRPr="00902BE7">
              <w:rPr>
                <w:rFonts w:ascii="Verdana" w:hAnsi="Verdana" w:cs="Arial"/>
                <w:sz w:val="20"/>
                <w:szCs w:val="20"/>
              </w:rPr>
              <w:t xml:space="preserve"> millones por cuenta del proyecto de desminado terrestre en el marco del convenio de subvención firmado con la fundación Howard </w:t>
            </w:r>
            <w:r w:rsidR="00C639E9" w:rsidRPr="00902BE7">
              <w:rPr>
                <w:rFonts w:ascii="Verdana" w:hAnsi="Verdana" w:cs="Arial"/>
                <w:sz w:val="20"/>
                <w:szCs w:val="20"/>
              </w:rPr>
              <w:t>Buffet</w:t>
            </w:r>
            <w:r w:rsidRPr="00902BE7">
              <w:rPr>
                <w:rFonts w:ascii="Verdana" w:hAnsi="Verdana" w:cs="Arial"/>
                <w:sz w:val="20"/>
                <w:szCs w:val="20"/>
              </w:rPr>
              <w:t>.</w:t>
            </w:r>
          </w:p>
          <w:p w:rsidR="00C639E9" w:rsidRDefault="00C639E9" w:rsidP="005F4A60">
            <w:pPr>
              <w:jc w:val="both"/>
              <w:rPr>
                <w:rFonts w:ascii="Verdana" w:hAnsi="Verdana" w:cs="Arial"/>
                <w:sz w:val="20"/>
                <w:szCs w:val="20"/>
              </w:rPr>
            </w:pPr>
            <w:r>
              <w:rPr>
                <w:rFonts w:ascii="Verdana" w:hAnsi="Verdana" w:cs="Arial"/>
                <w:sz w:val="20"/>
                <w:szCs w:val="20"/>
              </w:rPr>
              <w:t xml:space="preserve">d) </w:t>
            </w:r>
            <w:r w:rsidR="00721170">
              <w:rPr>
                <w:rFonts w:ascii="Verdana" w:hAnsi="Verdana" w:cs="Arial"/>
                <w:sz w:val="20"/>
                <w:szCs w:val="20"/>
              </w:rPr>
              <w:t>3</w:t>
            </w:r>
            <w:r w:rsidR="006A71E7">
              <w:rPr>
                <w:rFonts w:ascii="Verdana" w:hAnsi="Verdana" w:cs="Arial"/>
                <w:sz w:val="20"/>
                <w:szCs w:val="20"/>
              </w:rPr>
              <w:t>93</w:t>
            </w:r>
            <w:r w:rsidR="00521F6F">
              <w:rPr>
                <w:rFonts w:ascii="Verdana" w:hAnsi="Verdana" w:cs="Arial"/>
                <w:sz w:val="20"/>
                <w:szCs w:val="20"/>
              </w:rPr>
              <w:t>,</w:t>
            </w:r>
            <w:r w:rsidR="006A71E7">
              <w:rPr>
                <w:rFonts w:ascii="Verdana" w:hAnsi="Verdana" w:cs="Arial"/>
                <w:sz w:val="20"/>
                <w:szCs w:val="20"/>
              </w:rPr>
              <w:t>7</w:t>
            </w:r>
            <w:r>
              <w:rPr>
                <w:rFonts w:ascii="Verdana" w:hAnsi="Verdana" w:cs="Arial"/>
                <w:sz w:val="20"/>
                <w:szCs w:val="20"/>
              </w:rPr>
              <w:t xml:space="preserve"> millones del proyecto Fondo Verde del Clima.</w:t>
            </w:r>
          </w:p>
          <w:p w:rsidR="00721170" w:rsidRDefault="00721170" w:rsidP="005F4A60">
            <w:pPr>
              <w:jc w:val="both"/>
              <w:rPr>
                <w:rFonts w:ascii="Verdana" w:hAnsi="Verdana" w:cs="Arial"/>
                <w:sz w:val="20"/>
                <w:szCs w:val="20"/>
              </w:rPr>
            </w:pPr>
            <w:r>
              <w:rPr>
                <w:rFonts w:ascii="Verdana" w:hAnsi="Verdana" w:cs="Arial"/>
                <w:sz w:val="20"/>
                <w:szCs w:val="20"/>
              </w:rPr>
              <w:t>e)</w:t>
            </w:r>
            <w:r w:rsidR="00D832E3">
              <w:rPr>
                <w:rFonts w:ascii="Verdana" w:hAnsi="Verdana" w:cs="Arial"/>
                <w:sz w:val="20"/>
                <w:szCs w:val="20"/>
              </w:rPr>
              <w:t xml:space="preserve"> </w:t>
            </w:r>
            <w:r>
              <w:rPr>
                <w:rFonts w:ascii="Verdana" w:hAnsi="Verdana" w:cs="Arial"/>
                <w:sz w:val="20"/>
                <w:szCs w:val="20"/>
              </w:rPr>
              <w:t xml:space="preserve">20,0 millones del proyecto </w:t>
            </w:r>
            <w:r w:rsidR="00775969">
              <w:rPr>
                <w:rFonts w:ascii="Verdana" w:hAnsi="Verdana" w:cs="Arial"/>
                <w:sz w:val="20"/>
                <w:szCs w:val="20"/>
              </w:rPr>
              <w:t xml:space="preserve">con </w:t>
            </w:r>
            <w:r>
              <w:rPr>
                <w:rFonts w:ascii="Verdana" w:hAnsi="Verdana" w:cs="Arial"/>
                <w:sz w:val="20"/>
                <w:szCs w:val="20"/>
              </w:rPr>
              <w:t>Corporación Andina de Fomento-CAF.</w:t>
            </w:r>
          </w:p>
          <w:p w:rsidR="00CE57ED" w:rsidRPr="00902BE7" w:rsidRDefault="00CE57ED" w:rsidP="005F4A60">
            <w:pPr>
              <w:jc w:val="both"/>
              <w:rPr>
                <w:rFonts w:ascii="Verdana" w:hAnsi="Verdana" w:cs="Arial"/>
                <w:sz w:val="20"/>
                <w:szCs w:val="20"/>
              </w:rPr>
            </w:pPr>
          </w:p>
          <w:p w:rsidR="00F57B74" w:rsidRPr="003C58A7" w:rsidRDefault="00E7783B" w:rsidP="00675225">
            <w:pPr>
              <w:jc w:val="both"/>
              <w:rPr>
                <w:rFonts w:ascii="Verdana" w:hAnsi="Verdana"/>
                <w:sz w:val="20"/>
                <w:szCs w:val="20"/>
              </w:rPr>
            </w:pPr>
            <w:r>
              <w:rPr>
                <w:rFonts w:ascii="Verdana" w:hAnsi="Verdana" w:cs="Arial"/>
                <w:sz w:val="20"/>
                <w:szCs w:val="20"/>
              </w:rPr>
              <w:t>4</w:t>
            </w:r>
            <w:r w:rsidR="00902BE7" w:rsidRPr="00902BE7">
              <w:rPr>
                <w:rFonts w:ascii="Verdana" w:hAnsi="Verdana" w:cs="Arial"/>
                <w:sz w:val="20"/>
                <w:szCs w:val="20"/>
              </w:rPr>
              <w:t xml:space="preserve">) Fortalecimiento de las capacidades tecnológicas de la información en APC-COLOMBIA, con el </w:t>
            </w:r>
            <w:r w:rsidR="000504AF">
              <w:rPr>
                <w:rFonts w:ascii="Verdana" w:hAnsi="Verdana" w:cs="Arial"/>
                <w:sz w:val="20"/>
                <w:szCs w:val="20"/>
              </w:rPr>
              <w:t>3</w:t>
            </w:r>
            <w:r w:rsidR="00902BE7" w:rsidRPr="00902BE7">
              <w:rPr>
                <w:rFonts w:ascii="Verdana" w:hAnsi="Verdana" w:cs="Arial"/>
                <w:sz w:val="20"/>
                <w:szCs w:val="20"/>
              </w:rPr>
              <w:t xml:space="preserve">% de la ejecución en inversión, equivalente a </w:t>
            </w:r>
            <w:r w:rsidR="00345EE2">
              <w:rPr>
                <w:rFonts w:ascii="Verdana" w:hAnsi="Verdana" w:cs="Arial"/>
                <w:sz w:val="20"/>
                <w:szCs w:val="20"/>
              </w:rPr>
              <w:t>605,8</w:t>
            </w:r>
            <w:r w:rsidR="00902BE7" w:rsidRPr="00902BE7">
              <w:rPr>
                <w:rFonts w:ascii="Verdana" w:hAnsi="Verdana" w:cs="Arial"/>
                <w:sz w:val="20"/>
                <w:szCs w:val="20"/>
              </w:rPr>
              <w:t xml:space="preserve"> millones para los servicios profesional</w:t>
            </w:r>
            <w:r w:rsidR="008E5EEA">
              <w:rPr>
                <w:rFonts w:ascii="Verdana" w:hAnsi="Verdana" w:cs="Arial"/>
                <w:sz w:val="20"/>
                <w:szCs w:val="20"/>
              </w:rPr>
              <w:t xml:space="preserve">es para la gestión del proyecto y </w:t>
            </w:r>
            <w:r w:rsidR="0057344D">
              <w:rPr>
                <w:rFonts w:ascii="Verdana" w:hAnsi="Verdana" w:cs="Arial"/>
                <w:sz w:val="20"/>
                <w:szCs w:val="20"/>
              </w:rPr>
              <w:t>los</w:t>
            </w:r>
            <w:r w:rsidR="008E5EEA">
              <w:rPr>
                <w:rFonts w:ascii="Verdana" w:hAnsi="Verdana" w:cs="Arial"/>
                <w:sz w:val="20"/>
                <w:szCs w:val="20"/>
              </w:rPr>
              <w:t xml:space="preserve"> contrato</w:t>
            </w:r>
            <w:r w:rsidR="0057344D">
              <w:rPr>
                <w:rFonts w:ascii="Verdana" w:hAnsi="Verdana" w:cs="Arial"/>
                <w:sz w:val="20"/>
                <w:szCs w:val="20"/>
              </w:rPr>
              <w:t>s</w:t>
            </w:r>
            <w:r w:rsidR="008E5EEA">
              <w:rPr>
                <w:rFonts w:ascii="Verdana" w:hAnsi="Verdana" w:cs="Arial"/>
                <w:sz w:val="20"/>
                <w:szCs w:val="20"/>
              </w:rPr>
              <w:t xml:space="preserve"> </w:t>
            </w:r>
            <w:r w:rsidR="000504AF">
              <w:rPr>
                <w:rFonts w:ascii="Verdana" w:hAnsi="Verdana" w:cs="Arial"/>
                <w:sz w:val="20"/>
                <w:szCs w:val="20"/>
              </w:rPr>
              <w:t>con la</w:t>
            </w:r>
            <w:r w:rsidR="008E5EEA">
              <w:rPr>
                <w:rFonts w:ascii="Verdana" w:hAnsi="Verdana" w:cs="Arial"/>
                <w:sz w:val="20"/>
                <w:szCs w:val="20"/>
              </w:rPr>
              <w:t xml:space="preserve"> </w:t>
            </w:r>
            <w:r w:rsidR="0057344D">
              <w:rPr>
                <w:rFonts w:ascii="Verdana" w:hAnsi="Verdana" w:cs="Arial"/>
                <w:sz w:val="20"/>
                <w:szCs w:val="20"/>
              </w:rPr>
              <w:t>Unión Temporal Seguridad-Nas</w:t>
            </w:r>
            <w:r w:rsidR="000504AF">
              <w:rPr>
                <w:rFonts w:ascii="Verdana" w:hAnsi="Verdana" w:cs="Arial"/>
                <w:sz w:val="20"/>
                <w:szCs w:val="20"/>
              </w:rPr>
              <w:t>,</w:t>
            </w:r>
            <w:r w:rsidR="0057344D">
              <w:rPr>
                <w:rFonts w:ascii="Verdana" w:hAnsi="Verdana" w:cs="Arial"/>
                <w:sz w:val="20"/>
                <w:szCs w:val="20"/>
              </w:rPr>
              <w:t xml:space="preserve"> </w:t>
            </w:r>
            <w:r w:rsidR="0057344D" w:rsidRPr="0057344D">
              <w:rPr>
                <w:rFonts w:ascii="Verdana" w:hAnsi="Verdana" w:cs="Arial"/>
                <w:sz w:val="20"/>
                <w:szCs w:val="20"/>
              </w:rPr>
              <w:t xml:space="preserve">Ximil Technologies </w:t>
            </w:r>
            <w:r w:rsidR="0057344D">
              <w:rPr>
                <w:rFonts w:ascii="Verdana" w:hAnsi="Verdana" w:cs="Arial"/>
                <w:sz w:val="20"/>
                <w:szCs w:val="20"/>
              </w:rPr>
              <w:t xml:space="preserve">y el </w:t>
            </w:r>
            <w:r w:rsidR="0057344D" w:rsidRPr="0057344D">
              <w:rPr>
                <w:rFonts w:ascii="Verdana" w:hAnsi="Verdana" w:cs="Arial"/>
                <w:sz w:val="20"/>
                <w:szCs w:val="20"/>
              </w:rPr>
              <w:t>contrato con la Unión Solucione</w:t>
            </w:r>
            <w:r w:rsidR="000504AF">
              <w:rPr>
                <w:rFonts w:ascii="Verdana" w:hAnsi="Verdana" w:cs="Arial"/>
                <w:sz w:val="20"/>
                <w:szCs w:val="20"/>
              </w:rPr>
              <w:t>s Sistemas De Información S.A.S.</w:t>
            </w:r>
          </w:p>
        </w:tc>
        <w:tc>
          <w:tcPr>
            <w:tcW w:w="0" w:type="auto"/>
            <w:shd w:val="clear" w:color="auto" w:fill="auto"/>
            <w:vAlign w:val="center"/>
          </w:tcPr>
          <w:p w:rsidR="007C68D7" w:rsidRPr="007C68D7" w:rsidRDefault="007C68D7" w:rsidP="007C68D7">
            <w:pPr>
              <w:jc w:val="both"/>
              <w:rPr>
                <w:rFonts w:ascii="Verdana" w:hAnsi="Verdana" w:cs="Arial"/>
                <w:sz w:val="20"/>
                <w:szCs w:val="20"/>
              </w:rPr>
            </w:pPr>
            <w:r w:rsidRPr="007C68D7">
              <w:rPr>
                <w:rFonts w:ascii="Verdana" w:hAnsi="Verdana" w:cs="Arial"/>
                <w:b/>
                <w:sz w:val="20"/>
                <w:szCs w:val="20"/>
              </w:rPr>
              <w:lastRenderedPageBreak/>
              <w:t>Indicador:</w:t>
            </w:r>
            <w:r w:rsidRPr="007C68D7">
              <w:rPr>
                <w:rFonts w:ascii="Verdana" w:hAnsi="Verdana" w:cs="Arial"/>
                <w:sz w:val="20"/>
                <w:szCs w:val="20"/>
              </w:rPr>
              <w:t xml:space="preserve"> Ejecución Obligaciones / Apropiación Vigente.</w:t>
            </w:r>
          </w:p>
          <w:p w:rsidR="007C68D7" w:rsidRPr="007C68D7" w:rsidRDefault="007C68D7" w:rsidP="007C68D7">
            <w:pPr>
              <w:jc w:val="both"/>
              <w:rPr>
                <w:rFonts w:ascii="Verdana" w:hAnsi="Verdana" w:cs="Arial"/>
                <w:sz w:val="20"/>
                <w:szCs w:val="20"/>
              </w:rPr>
            </w:pPr>
            <w:r w:rsidRPr="007C68D7">
              <w:rPr>
                <w:rFonts w:ascii="Verdana" w:hAnsi="Verdana" w:cs="Arial"/>
                <w:b/>
                <w:sz w:val="20"/>
                <w:szCs w:val="20"/>
              </w:rPr>
              <w:t>Indicador:</w:t>
            </w:r>
            <w:r w:rsidRPr="007C68D7">
              <w:rPr>
                <w:rFonts w:ascii="Verdana" w:hAnsi="Verdana" w:cs="Arial"/>
                <w:sz w:val="20"/>
                <w:szCs w:val="20"/>
              </w:rPr>
              <w:t xml:space="preserve"> </w:t>
            </w:r>
            <w:r w:rsidR="004F63CD">
              <w:rPr>
                <w:rFonts w:ascii="Verdana" w:hAnsi="Verdana" w:cs="Arial"/>
                <w:sz w:val="20"/>
                <w:szCs w:val="20"/>
              </w:rPr>
              <w:t>18.332,2</w:t>
            </w:r>
            <w:r w:rsidRPr="007C68D7">
              <w:rPr>
                <w:rFonts w:ascii="Verdana" w:hAnsi="Verdana" w:cs="Arial"/>
                <w:sz w:val="20"/>
                <w:szCs w:val="20"/>
              </w:rPr>
              <w:t xml:space="preserve"> / 94.033,1 = </w:t>
            </w:r>
            <w:r w:rsidR="00541CE0">
              <w:rPr>
                <w:rFonts w:ascii="Verdana" w:hAnsi="Verdana" w:cs="Arial"/>
                <w:sz w:val="20"/>
                <w:szCs w:val="20"/>
              </w:rPr>
              <w:t>1</w:t>
            </w:r>
            <w:r w:rsidR="004F63CD">
              <w:rPr>
                <w:rFonts w:ascii="Verdana" w:hAnsi="Verdana" w:cs="Arial"/>
                <w:sz w:val="20"/>
                <w:szCs w:val="20"/>
              </w:rPr>
              <w:t>9</w:t>
            </w:r>
            <w:r w:rsidR="00541CE0">
              <w:rPr>
                <w:rFonts w:ascii="Verdana" w:hAnsi="Verdana" w:cs="Arial"/>
                <w:sz w:val="20"/>
                <w:szCs w:val="20"/>
              </w:rPr>
              <w:t>,</w:t>
            </w:r>
            <w:r w:rsidR="004F63CD">
              <w:rPr>
                <w:rFonts w:ascii="Verdana" w:hAnsi="Verdana" w:cs="Arial"/>
                <w:sz w:val="20"/>
                <w:szCs w:val="20"/>
              </w:rPr>
              <w:t>50</w:t>
            </w:r>
            <w:r w:rsidRPr="007C68D7">
              <w:rPr>
                <w:rFonts w:ascii="Verdana" w:hAnsi="Verdana" w:cs="Arial"/>
                <w:sz w:val="20"/>
                <w:szCs w:val="20"/>
              </w:rPr>
              <w:t>%.</w:t>
            </w:r>
          </w:p>
          <w:p w:rsidR="005F4A60" w:rsidRPr="007C68D7" w:rsidRDefault="005F4A60" w:rsidP="007C68D7">
            <w:pPr>
              <w:jc w:val="both"/>
              <w:rPr>
                <w:rFonts w:ascii="Verdana" w:hAnsi="Verdana" w:cs="Arial"/>
                <w:sz w:val="20"/>
                <w:szCs w:val="20"/>
              </w:rPr>
            </w:pPr>
          </w:p>
          <w:p w:rsidR="00D06491" w:rsidRDefault="007C68D7" w:rsidP="00F906B1">
            <w:pPr>
              <w:jc w:val="both"/>
              <w:rPr>
                <w:rFonts w:ascii="Verdana" w:hAnsi="Verdana" w:cs="Arial"/>
                <w:sz w:val="20"/>
                <w:szCs w:val="20"/>
              </w:rPr>
            </w:pPr>
            <w:r w:rsidRPr="007C68D7">
              <w:rPr>
                <w:rFonts w:ascii="Verdana" w:hAnsi="Verdana" w:cs="Arial"/>
                <w:sz w:val="20"/>
                <w:szCs w:val="20"/>
                <w:lang w:val="es-CO"/>
              </w:rPr>
              <w:t xml:space="preserve">Con corte al </w:t>
            </w:r>
            <w:r w:rsidR="004F63CD">
              <w:rPr>
                <w:rFonts w:ascii="Verdana" w:hAnsi="Verdana" w:cs="Arial"/>
                <w:sz w:val="20"/>
                <w:szCs w:val="20"/>
                <w:lang w:val="es-CO"/>
              </w:rPr>
              <w:t>30 de septiembre</w:t>
            </w:r>
            <w:r w:rsidRPr="007C68D7">
              <w:rPr>
                <w:rFonts w:ascii="Verdana" w:hAnsi="Verdana" w:cs="Arial"/>
                <w:sz w:val="20"/>
                <w:szCs w:val="20"/>
                <w:lang w:val="es-CO"/>
              </w:rPr>
              <w:t xml:space="preserve"> de 2019, </w:t>
            </w:r>
            <w:r w:rsidR="00C55089">
              <w:rPr>
                <w:rFonts w:ascii="Verdana" w:hAnsi="Verdana" w:cs="Arial"/>
                <w:sz w:val="20"/>
                <w:szCs w:val="20"/>
                <w:lang w:val="es-CO"/>
              </w:rPr>
              <w:t xml:space="preserve">la ejecución presupuestal de la </w:t>
            </w:r>
            <w:r w:rsidRPr="007C68D7">
              <w:rPr>
                <w:rFonts w:ascii="Verdana" w:hAnsi="Verdana" w:cs="Arial"/>
                <w:sz w:val="20"/>
                <w:szCs w:val="20"/>
                <w:lang w:val="es-CO"/>
              </w:rPr>
              <w:t xml:space="preserve">entidad en materia de obligaciones fue del </w:t>
            </w:r>
            <w:r w:rsidR="004F63CD">
              <w:rPr>
                <w:rFonts w:ascii="Verdana" w:hAnsi="Verdana" w:cs="Arial"/>
                <w:sz w:val="20"/>
                <w:szCs w:val="20"/>
                <w:lang w:val="es-CO"/>
              </w:rPr>
              <w:t>19,50</w:t>
            </w:r>
            <w:r w:rsidR="001D1F74" w:rsidRPr="00C55089">
              <w:rPr>
                <w:rFonts w:ascii="Verdana" w:hAnsi="Verdana" w:cs="Arial"/>
                <w:sz w:val="20"/>
                <w:szCs w:val="20"/>
                <w:lang w:val="es-CO"/>
              </w:rPr>
              <w:t xml:space="preserve">% </w:t>
            </w:r>
            <w:r w:rsidRPr="007C68D7">
              <w:rPr>
                <w:rFonts w:ascii="Verdana" w:hAnsi="Verdana" w:cs="Arial"/>
                <w:sz w:val="20"/>
                <w:szCs w:val="20"/>
                <w:lang w:val="es-CO"/>
              </w:rPr>
              <w:t xml:space="preserve">equivalente a </w:t>
            </w:r>
            <w:r w:rsidR="00E02537">
              <w:rPr>
                <w:rFonts w:ascii="Verdana" w:hAnsi="Verdana" w:cs="Arial"/>
                <w:sz w:val="20"/>
                <w:szCs w:val="20"/>
                <w:lang w:val="es-CO"/>
              </w:rPr>
              <w:t>1</w:t>
            </w:r>
            <w:r w:rsidR="004F63CD">
              <w:rPr>
                <w:rFonts w:ascii="Verdana" w:hAnsi="Verdana" w:cs="Arial"/>
                <w:sz w:val="20"/>
                <w:szCs w:val="20"/>
                <w:lang w:val="es-CO"/>
              </w:rPr>
              <w:t>8.332,2</w:t>
            </w:r>
            <w:r w:rsidR="001D1F74" w:rsidRPr="00C55089">
              <w:rPr>
                <w:rFonts w:ascii="Verdana" w:hAnsi="Verdana" w:cs="Arial"/>
                <w:sz w:val="20"/>
                <w:szCs w:val="20"/>
                <w:lang w:val="es-CO"/>
              </w:rPr>
              <w:t xml:space="preserve"> </w:t>
            </w:r>
            <w:r w:rsidRPr="007C68D7">
              <w:rPr>
                <w:rFonts w:ascii="Verdana" w:hAnsi="Verdana" w:cs="Arial"/>
                <w:sz w:val="20"/>
                <w:szCs w:val="20"/>
                <w:lang w:val="es-CO"/>
              </w:rPr>
              <w:t xml:space="preserve">millones, frente a una meta del </w:t>
            </w:r>
            <w:r w:rsidR="004F63CD">
              <w:rPr>
                <w:rFonts w:ascii="Verdana" w:hAnsi="Verdana" w:cs="Arial"/>
                <w:sz w:val="20"/>
                <w:szCs w:val="20"/>
                <w:lang w:val="es-CO"/>
              </w:rPr>
              <w:t>33,81</w:t>
            </w:r>
            <w:r w:rsidR="000842C8">
              <w:rPr>
                <w:rFonts w:ascii="Verdana" w:hAnsi="Verdana" w:cs="Arial"/>
                <w:sz w:val="20"/>
                <w:szCs w:val="20"/>
                <w:lang w:val="es-CO"/>
              </w:rPr>
              <w:t>%</w:t>
            </w:r>
            <w:r w:rsidRPr="007C68D7">
              <w:rPr>
                <w:rFonts w:ascii="Verdana" w:hAnsi="Verdana" w:cs="Arial"/>
                <w:sz w:val="20"/>
                <w:szCs w:val="20"/>
                <w:lang w:val="es-CO"/>
              </w:rPr>
              <w:t xml:space="preserve"> con un </w:t>
            </w:r>
            <w:r w:rsidR="00E02537">
              <w:rPr>
                <w:rFonts w:ascii="Verdana" w:hAnsi="Verdana" w:cs="Arial"/>
                <w:sz w:val="20"/>
                <w:szCs w:val="20"/>
                <w:lang w:val="es-CO"/>
              </w:rPr>
              <w:t>Déficit</w:t>
            </w:r>
            <w:r w:rsidR="000842C8">
              <w:rPr>
                <w:rFonts w:ascii="Verdana" w:hAnsi="Verdana" w:cs="Arial"/>
                <w:sz w:val="20"/>
                <w:szCs w:val="20"/>
                <w:lang w:val="es-CO"/>
              </w:rPr>
              <w:t xml:space="preserve"> </w:t>
            </w:r>
            <w:r w:rsidRPr="007C68D7">
              <w:rPr>
                <w:rFonts w:ascii="Verdana" w:hAnsi="Verdana" w:cs="Arial"/>
                <w:sz w:val="20"/>
                <w:szCs w:val="20"/>
                <w:lang w:val="es-CO"/>
              </w:rPr>
              <w:t xml:space="preserve"> de </w:t>
            </w:r>
            <w:r w:rsidR="004F63CD">
              <w:rPr>
                <w:rFonts w:ascii="Verdana" w:hAnsi="Verdana" w:cs="Arial"/>
                <w:sz w:val="20"/>
                <w:szCs w:val="20"/>
                <w:lang w:val="es-CO"/>
              </w:rPr>
              <w:t>13,462,5</w:t>
            </w:r>
            <w:r w:rsidRPr="007C68D7">
              <w:rPr>
                <w:rFonts w:ascii="Verdana" w:hAnsi="Verdana" w:cs="Arial"/>
                <w:sz w:val="20"/>
                <w:szCs w:val="20"/>
                <w:lang w:val="es-CO"/>
              </w:rPr>
              <w:t xml:space="preserve"> millones, el cual se explica así</w:t>
            </w:r>
            <w:r w:rsidRPr="00C55089">
              <w:rPr>
                <w:rFonts w:ascii="Verdana" w:hAnsi="Verdana" w:cs="Arial"/>
                <w:sz w:val="20"/>
                <w:szCs w:val="20"/>
                <w:lang w:val="es-CO"/>
              </w:rPr>
              <w:t xml:space="preserve">: </w:t>
            </w:r>
            <w:r w:rsidR="00C55089" w:rsidRPr="00C55089">
              <w:rPr>
                <w:rFonts w:ascii="Verdana" w:hAnsi="Verdana" w:cs="Arial"/>
                <w:b/>
                <w:sz w:val="20"/>
                <w:szCs w:val="20"/>
                <w:lang w:val="es-CO"/>
              </w:rPr>
              <w:t>A)</w:t>
            </w:r>
            <w:r w:rsidR="00C55089">
              <w:rPr>
                <w:rFonts w:ascii="Verdana" w:hAnsi="Verdana" w:cs="Arial"/>
                <w:b/>
                <w:sz w:val="20"/>
                <w:szCs w:val="20"/>
                <w:lang w:val="es-CO"/>
              </w:rPr>
              <w:t>F</w:t>
            </w:r>
            <w:r w:rsidRPr="00C55089">
              <w:rPr>
                <w:rFonts w:ascii="Verdana" w:hAnsi="Verdana" w:cs="Arial"/>
                <w:b/>
                <w:sz w:val="20"/>
                <w:szCs w:val="20"/>
                <w:lang w:val="es-CO"/>
              </w:rPr>
              <w:t>uncionamiento:</w:t>
            </w:r>
            <w:r w:rsidRPr="00C55089">
              <w:rPr>
                <w:rFonts w:ascii="Verdana" w:hAnsi="Verdana" w:cs="Arial"/>
                <w:sz w:val="20"/>
                <w:szCs w:val="20"/>
                <w:lang w:val="es-CO"/>
              </w:rPr>
              <w:t xml:space="preserve"> </w:t>
            </w:r>
            <w:r w:rsidR="000842C8" w:rsidRPr="00C55089">
              <w:rPr>
                <w:rFonts w:ascii="Verdana" w:hAnsi="Verdana" w:cs="Arial"/>
                <w:sz w:val="20"/>
                <w:szCs w:val="20"/>
                <w:lang w:val="es-CO"/>
              </w:rPr>
              <w:t xml:space="preserve">1) </w:t>
            </w:r>
            <w:r w:rsidR="00A46C5E" w:rsidRPr="00C55089">
              <w:rPr>
                <w:rFonts w:ascii="Verdana" w:hAnsi="Verdana" w:cs="Arial"/>
                <w:sz w:val="20"/>
                <w:szCs w:val="20"/>
                <w:lang w:val="es-CO"/>
              </w:rPr>
              <w:t>Superávit</w:t>
            </w:r>
            <w:r w:rsidR="000842C8" w:rsidRPr="00C55089">
              <w:rPr>
                <w:rFonts w:ascii="Verdana" w:hAnsi="Verdana" w:cs="Arial"/>
                <w:sz w:val="20"/>
                <w:szCs w:val="20"/>
                <w:lang w:val="es-CO"/>
              </w:rPr>
              <w:t xml:space="preserve">  en la ejecución de gastos de personal por </w:t>
            </w:r>
            <w:r w:rsidR="00B11329">
              <w:rPr>
                <w:rFonts w:ascii="Verdana" w:hAnsi="Verdana" w:cs="Arial"/>
                <w:sz w:val="20"/>
                <w:szCs w:val="20"/>
                <w:lang w:val="es-CO"/>
              </w:rPr>
              <w:t>104,2</w:t>
            </w:r>
            <w:r w:rsidR="000842C8" w:rsidRPr="00C55089">
              <w:rPr>
                <w:rFonts w:ascii="Verdana" w:hAnsi="Verdana" w:cs="Arial"/>
                <w:sz w:val="20"/>
                <w:szCs w:val="20"/>
                <w:lang w:val="es-CO"/>
              </w:rPr>
              <w:t xml:space="preserve"> millones, </w:t>
            </w:r>
            <w:r w:rsidR="00B020F0" w:rsidRPr="00C55089">
              <w:rPr>
                <w:rFonts w:ascii="Verdana" w:hAnsi="Verdana" w:cs="Arial"/>
                <w:sz w:val="20"/>
                <w:szCs w:val="20"/>
                <w:lang w:val="es-CO"/>
              </w:rPr>
              <w:t>se cumplió la meta.</w:t>
            </w:r>
            <w:r w:rsidRPr="00C55089">
              <w:rPr>
                <w:rFonts w:ascii="Verdana" w:hAnsi="Verdana" w:cs="Arial"/>
                <w:sz w:val="20"/>
                <w:szCs w:val="20"/>
                <w:lang w:val="es-CO"/>
              </w:rPr>
              <w:t xml:space="preserve">2) </w:t>
            </w:r>
            <w:r w:rsidR="00B020F0" w:rsidRPr="00C55089">
              <w:rPr>
                <w:rFonts w:ascii="Verdana" w:hAnsi="Verdana" w:cs="Arial"/>
                <w:sz w:val="20"/>
                <w:szCs w:val="20"/>
                <w:lang w:val="es-CO"/>
              </w:rPr>
              <w:t>Superávit</w:t>
            </w:r>
            <w:r w:rsidRPr="00C55089">
              <w:rPr>
                <w:rFonts w:ascii="Verdana" w:hAnsi="Verdana" w:cs="Arial"/>
                <w:sz w:val="20"/>
                <w:szCs w:val="20"/>
                <w:lang w:val="es-CO"/>
              </w:rPr>
              <w:t xml:space="preserve"> en la ejecución de adquis</w:t>
            </w:r>
            <w:r w:rsidR="00B020F0" w:rsidRPr="00C55089">
              <w:rPr>
                <w:rFonts w:ascii="Verdana" w:hAnsi="Verdana" w:cs="Arial"/>
                <w:sz w:val="20"/>
                <w:szCs w:val="20"/>
                <w:lang w:val="es-CO"/>
              </w:rPr>
              <w:t xml:space="preserve">ición de bienes y servicios por </w:t>
            </w:r>
            <w:r w:rsidR="00B11329">
              <w:rPr>
                <w:rFonts w:ascii="Verdana" w:hAnsi="Verdana" w:cs="Arial"/>
                <w:sz w:val="20"/>
                <w:szCs w:val="20"/>
                <w:lang w:val="es-CO"/>
              </w:rPr>
              <w:t>7,9 millones</w:t>
            </w:r>
            <w:r w:rsidR="00B020F0" w:rsidRPr="00C55089">
              <w:rPr>
                <w:rFonts w:ascii="Verdana" w:hAnsi="Verdana" w:cs="Arial"/>
                <w:sz w:val="20"/>
                <w:szCs w:val="20"/>
                <w:lang w:val="es-CO"/>
              </w:rPr>
              <w:t>, se cumplió la meta;</w:t>
            </w:r>
            <w:r w:rsidRPr="00C55089">
              <w:rPr>
                <w:rFonts w:ascii="Verdana" w:hAnsi="Verdana" w:cs="Arial"/>
                <w:sz w:val="20"/>
                <w:szCs w:val="20"/>
                <w:lang w:val="es-CO"/>
              </w:rPr>
              <w:t xml:space="preserve">3) </w:t>
            </w:r>
            <w:r w:rsidR="00A71309">
              <w:rPr>
                <w:rFonts w:ascii="Verdana" w:hAnsi="Verdana" w:cs="Arial"/>
                <w:sz w:val="20"/>
                <w:szCs w:val="20"/>
                <w:lang w:val="es-CO"/>
              </w:rPr>
              <w:t>E</w:t>
            </w:r>
            <w:r w:rsidRPr="00C55089">
              <w:rPr>
                <w:rFonts w:ascii="Verdana" w:hAnsi="Verdana" w:cs="Arial"/>
                <w:sz w:val="20"/>
                <w:szCs w:val="20"/>
                <w:lang w:val="es-CO"/>
              </w:rPr>
              <w:t>n la ejecución de transferencia</w:t>
            </w:r>
            <w:r w:rsidR="000A7186">
              <w:rPr>
                <w:rFonts w:ascii="Verdana" w:hAnsi="Verdana" w:cs="Arial"/>
                <w:sz w:val="20"/>
                <w:szCs w:val="20"/>
                <w:lang w:val="es-CO"/>
              </w:rPr>
              <w:t xml:space="preserve">s </w:t>
            </w:r>
            <w:r w:rsidR="000A7186" w:rsidRPr="00C55089">
              <w:rPr>
                <w:rFonts w:ascii="Verdana" w:hAnsi="Verdana" w:cs="Arial"/>
                <w:sz w:val="20"/>
                <w:szCs w:val="20"/>
                <w:lang w:val="es-CO"/>
              </w:rPr>
              <w:t>corrientes</w:t>
            </w:r>
            <w:r w:rsidR="000A7186">
              <w:rPr>
                <w:rFonts w:ascii="Verdana" w:hAnsi="Verdana" w:cs="Arial"/>
                <w:sz w:val="20"/>
                <w:szCs w:val="20"/>
                <w:lang w:val="es-CO"/>
              </w:rPr>
              <w:t xml:space="preserve"> se presentó un superávit por </w:t>
            </w:r>
            <w:r w:rsidR="00B11329">
              <w:rPr>
                <w:rFonts w:ascii="Verdana" w:hAnsi="Verdana" w:cs="Arial"/>
                <w:sz w:val="20"/>
                <w:szCs w:val="20"/>
                <w:lang w:val="es-CO"/>
              </w:rPr>
              <w:t>1.059,1</w:t>
            </w:r>
            <w:r w:rsidR="000A7186">
              <w:rPr>
                <w:rFonts w:ascii="Verdana" w:hAnsi="Verdana" w:cs="Arial"/>
                <w:sz w:val="20"/>
                <w:szCs w:val="20"/>
                <w:lang w:val="es-CO"/>
              </w:rPr>
              <w:t xml:space="preserve"> millones  </w:t>
            </w:r>
            <w:r w:rsidRPr="00C55089">
              <w:rPr>
                <w:rFonts w:ascii="Verdana" w:hAnsi="Verdana" w:cs="Arial"/>
                <w:sz w:val="20"/>
                <w:szCs w:val="20"/>
                <w:lang w:val="es-CO"/>
              </w:rPr>
              <w:t xml:space="preserve"> </w:t>
            </w:r>
            <w:r w:rsidR="00C55089" w:rsidRPr="00C55089">
              <w:rPr>
                <w:rFonts w:ascii="Verdana" w:hAnsi="Verdana" w:cs="Arial"/>
                <w:sz w:val="20"/>
                <w:szCs w:val="20"/>
                <w:lang w:val="es-CO"/>
              </w:rPr>
              <w:t>en FOCAI, se cumplió la meta</w:t>
            </w:r>
            <w:r w:rsidR="00C55089">
              <w:rPr>
                <w:rFonts w:ascii="Verdana" w:hAnsi="Verdana" w:cs="Arial"/>
                <w:sz w:val="20"/>
                <w:szCs w:val="20"/>
                <w:lang w:val="es-CO"/>
              </w:rPr>
              <w:t>,</w:t>
            </w:r>
            <w:r w:rsidR="00C55089" w:rsidRPr="00C55089">
              <w:rPr>
                <w:rFonts w:ascii="Verdana" w:hAnsi="Verdana" w:cs="Arial"/>
                <w:sz w:val="20"/>
                <w:szCs w:val="20"/>
                <w:lang w:val="es-CO"/>
              </w:rPr>
              <w:t xml:space="preserve"> pero </w:t>
            </w:r>
            <w:r w:rsidR="00A71309">
              <w:rPr>
                <w:rFonts w:ascii="Verdana" w:hAnsi="Verdana" w:cs="Arial"/>
                <w:sz w:val="20"/>
                <w:szCs w:val="20"/>
                <w:lang w:val="es-CO"/>
              </w:rPr>
              <w:t xml:space="preserve">se </w:t>
            </w:r>
            <w:r w:rsidR="00C55089" w:rsidRPr="00C55089">
              <w:rPr>
                <w:rFonts w:ascii="Verdana" w:hAnsi="Verdana" w:cs="Arial"/>
                <w:sz w:val="20"/>
                <w:szCs w:val="20"/>
                <w:lang w:val="es-CO"/>
              </w:rPr>
              <w:t>presenta u</w:t>
            </w:r>
            <w:r w:rsidR="000A7186">
              <w:rPr>
                <w:rFonts w:ascii="Verdana" w:hAnsi="Verdana" w:cs="Arial"/>
                <w:sz w:val="20"/>
                <w:szCs w:val="20"/>
                <w:lang w:val="es-CO"/>
              </w:rPr>
              <w:t xml:space="preserve">n déficit en incapacidades de </w:t>
            </w:r>
            <w:r w:rsidR="00B11329">
              <w:rPr>
                <w:rFonts w:ascii="Verdana" w:hAnsi="Verdana" w:cs="Arial"/>
                <w:sz w:val="20"/>
                <w:szCs w:val="20"/>
                <w:lang w:val="es-CO"/>
              </w:rPr>
              <w:t>6,6</w:t>
            </w:r>
            <w:r w:rsidR="000A7186">
              <w:rPr>
                <w:rFonts w:ascii="Verdana" w:hAnsi="Verdana" w:cs="Arial"/>
                <w:sz w:val="20"/>
                <w:szCs w:val="20"/>
                <w:lang w:val="es-CO"/>
              </w:rPr>
              <w:t xml:space="preserve"> millones</w:t>
            </w:r>
            <w:r w:rsidR="005C79D7" w:rsidRPr="00C55089">
              <w:rPr>
                <w:rFonts w:ascii="Verdana" w:hAnsi="Verdana" w:cs="Arial"/>
                <w:sz w:val="20"/>
                <w:szCs w:val="20"/>
                <w:lang w:val="es-CO"/>
              </w:rPr>
              <w:t xml:space="preserve">, debido que este rubro  se afecta cuando  hay novedades de incapacidades radicadas en talento humano. </w:t>
            </w:r>
            <w:r w:rsidRPr="00BC4B5E">
              <w:rPr>
                <w:rFonts w:ascii="Verdana" w:hAnsi="Verdana" w:cs="Arial"/>
                <w:b/>
                <w:sz w:val="20"/>
                <w:szCs w:val="20"/>
                <w:lang w:val="es-CO"/>
              </w:rPr>
              <w:t>B) Gastos de inversión:</w:t>
            </w:r>
            <w:r w:rsidRPr="00C55089">
              <w:rPr>
                <w:rFonts w:ascii="Verdana" w:hAnsi="Verdana" w:cs="Arial"/>
                <w:sz w:val="20"/>
                <w:szCs w:val="20"/>
                <w:lang w:val="es-CO"/>
              </w:rPr>
              <w:t xml:space="preserve"> </w:t>
            </w:r>
            <w:r w:rsidR="00D06491">
              <w:rPr>
                <w:rFonts w:ascii="Verdana" w:hAnsi="Verdana" w:cs="Arial"/>
                <w:sz w:val="20"/>
                <w:szCs w:val="20"/>
                <w:lang w:val="es-CO"/>
              </w:rPr>
              <w:t xml:space="preserve">Déficit de </w:t>
            </w:r>
            <w:r w:rsidR="008914F9">
              <w:rPr>
                <w:rFonts w:ascii="Verdana" w:hAnsi="Verdana" w:cs="Arial"/>
                <w:sz w:val="20"/>
                <w:szCs w:val="20"/>
                <w:lang w:val="es-CO"/>
              </w:rPr>
              <w:t>14,627,2</w:t>
            </w:r>
            <w:r w:rsidR="00D06491">
              <w:rPr>
                <w:rFonts w:ascii="Verdana" w:hAnsi="Verdana" w:cs="Arial"/>
                <w:sz w:val="20"/>
                <w:szCs w:val="20"/>
                <w:lang w:val="es-CO"/>
              </w:rPr>
              <w:t xml:space="preserve"> millones </w:t>
            </w:r>
            <w:r w:rsidR="008914F9">
              <w:rPr>
                <w:rFonts w:ascii="Verdana" w:hAnsi="Verdana" w:cs="Arial"/>
                <w:sz w:val="20"/>
                <w:szCs w:val="20"/>
                <w:lang w:val="es-CO"/>
              </w:rPr>
              <w:t>1)Déficit de 1.329,3 por el rubro de Contrapartidas,</w:t>
            </w:r>
            <w:r w:rsidR="00D06491" w:rsidRPr="00994555">
              <w:rPr>
                <w:rFonts w:ascii="Verdana" w:hAnsi="Verdana" w:cs="Arial"/>
                <w:sz w:val="20"/>
                <w:szCs w:val="20"/>
              </w:rPr>
              <w:t>debido a que</w:t>
            </w:r>
            <w:r w:rsidR="00D06491">
              <w:rPr>
                <w:rFonts w:ascii="Verdana" w:hAnsi="Verdana" w:cs="Arial"/>
                <w:sz w:val="20"/>
                <w:szCs w:val="20"/>
              </w:rPr>
              <w:t xml:space="preserve"> no se tramitaron todos los contratos que se tenían previstos </w:t>
            </w:r>
            <w:r w:rsidR="008914F9">
              <w:rPr>
                <w:rFonts w:ascii="Verdana" w:hAnsi="Verdana" w:cs="Arial"/>
                <w:sz w:val="20"/>
                <w:szCs w:val="20"/>
              </w:rPr>
              <w:t xml:space="preserve">para el mes de septiembre </w:t>
            </w:r>
            <w:r w:rsidR="00382611">
              <w:rPr>
                <w:rFonts w:ascii="Verdana" w:hAnsi="Verdana" w:cs="Arial"/>
                <w:sz w:val="20"/>
                <w:szCs w:val="20"/>
              </w:rPr>
              <w:t>2) Déficit</w:t>
            </w:r>
            <w:r w:rsidR="00D06491">
              <w:rPr>
                <w:rFonts w:ascii="Verdana" w:hAnsi="Verdana" w:cs="Arial"/>
                <w:sz w:val="20"/>
                <w:szCs w:val="20"/>
              </w:rPr>
              <w:t xml:space="preserve"> de </w:t>
            </w:r>
            <w:r w:rsidR="008914F9">
              <w:rPr>
                <w:rFonts w:ascii="Verdana" w:hAnsi="Verdana" w:cs="Arial"/>
                <w:sz w:val="20"/>
                <w:szCs w:val="20"/>
              </w:rPr>
              <w:t>13.094,5</w:t>
            </w:r>
            <w:r w:rsidR="00D06491">
              <w:rPr>
                <w:rFonts w:ascii="Verdana" w:hAnsi="Verdana" w:cs="Arial"/>
                <w:sz w:val="20"/>
                <w:szCs w:val="20"/>
              </w:rPr>
              <w:t xml:space="preserve"> millones, debido a que no se tramitaron todas las facturas</w:t>
            </w:r>
            <w:r w:rsidR="008914F9">
              <w:rPr>
                <w:rFonts w:ascii="Verdana" w:hAnsi="Verdana" w:cs="Arial"/>
                <w:sz w:val="20"/>
                <w:szCs w:val="20"/>
              </w:rPr>
              <w:t xml:space="preserve"> y suscripción de contratos</w:t>
            </w:r>
            <w:r w:rsidR="00D06491">
              <w:rPr>
                <w:rFonts w:ascii="Verdana" w:hAnsi="Verdana" w:cs="Arial"/>
                <w:sz w:val="20"/>
                <w:szCs w:val="20"/>
              </w:rPr>
              <w:t xml:space="preserve"> que se tenían previstas para el rubro de Administración de recursos</w:t>
            </w:r>
            <w:r w:rsidR="00382611">
              <w:rPr>
                <w:rFonts w:ascii="Verdana" w:hAnsi="Verdana" w:cs="Arial"/>
                <w:sz w:val="20"/>
                <w:szCs w:val="20"/>
              </w:rPr>
              <w:t xml:space="preserve">.3) Déficit de </w:t>
            </w:r>
            <w:r w:rsidR="008914F9">
              <w:rPr>
                <w:rFonts w:ascii="Verdana" w:hAnsi="Verdana" w:cs="Arial"/>
                <w:sz w:val="20"/>
                <w:szCs w:val="20"/>
              </w:rPr>
              <w:t>203,4</w:t>
            </w:r>
            <w:r w:rsidR="00382611">
              <w:rPr>
                <w:rFonts w:ascii="Verdana" w:hAnsi="Verdana" w:cs="Arial"/>
                <w:sz w:val="20"/>
                <w:szCs w:val="20"/>
              </w:rPr>
              <w:t xml:space="preserve"> millones por Fortalecimiento de las capacidades tecnológicas debido que no se tramitaron todas las facturas que se tenían previstas  para este mes.</w:t>
            </w:r>
          </w:p>
          <w:p w:rsidR="00F906B1" w:rsidRDefault="00F906B1" w:rsidP="00F906B1">
            <w:pPr>
              <w:jc w:val="both"/>
              <w:rPr>
                <w:rFonts w:ascii="Verdana" w:hAnsi="Verdana" w:cs="Arial"/>
                <w:sz w:val="20"/>
                <w:szCs w:val="20"/>
              </w:rPr>
            </w:pPr>
          </w:p>
          <w:p w:rsidR="007C68D7" w:rsidRPr="007C68D7" w:rsidRDefault="007C68D7" w:rsidP="005F4A60">
            <w:pPr>
              <w:spacing w:after="160" w:line="259" w:lineRule="auto"/>
              <w:jc w:val="both"/>
              <w:rPr>
                <w:rFonts w:ascii="Verdana" w:hAnsi="Verdana" w:cs="Arial"/>
                <w:sz w:val="20"/>
                <w:szCs w:val="20"/>
                <w:lang w:val="es-CO"/>
              </w:rPr>
            </w:pPr>
            <w:r w:rsidRPr="007C68D7">
              <w:rPr>
                <w:rFonts w:ascii="Verdana" w:hAnsi="Verdana" w:cs="Arial"/>
                <w:sz w:val="20"/>
                <w:szCs w:val="20"/>
                <w:lang w:val="es-CO"/>
              </w:rPr>
              <w:t xml:space="preserve"> El </w:t>
            </w:r>
            <w:r w:rsidR="007A7D26">
              <w:rPr>
                <w:rFonts w:ascii="Verdana" w:hAnsi="Verdana" w:cs="Arial"/>
                <w:sz w:val="20"/>
                <w:szCs w:val="20"/>
                <w:lang w:val="es-CO"/>
              </w:rPr>
              <w:t>72,11</w:t>
            </w:r>
            <w:r w:rsidRPr="007C68D7">
              <w:rPr>
                <w:rFonts w:ascii="Verdana" w:hAnsi="Verdana" w:cs="Arial"/>
                <w:sz w:val="20"/>
                <w:szCs w:val="20"/>
                <w:lang w:val="es-CO"/>
              </w:rPr>
              <w:t xml:space="preserve">% de la ejecución corresponde a los gastos de funcionamiento y el </w:t>
            </w:r>
            <w:r w:rsidR="007A7D26">
              <w:rPr>
                <w:rFonts w:ascii="Verdana" w:hAnsi="Verdana" w:cs="Arial"/>
                <w:sz w:val="20"/>
                <w:szCs w:val="20"/>
                <w:lang w:val="es-CO"/>
              </w:rPr>
              <w:t>27,89</w:t>
            </w:r>
            <w:r w:rsidRPr="007C68D7">
              <w:rPr>
                <w:rFonts w:ascii="Verdana" w:hAnsi="Verdana" w:cs="Arial"/>
                <w:sz w:val="20"/>
                <w:szCs w:val="20"/>
                <w:lang w:val="es-CO"/>
              </w:rPr>
              <w:t>% a los gastos de inversión.</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La ejecución en funcionamiento se distribuyó así:</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 xml:space="preserve">1) Gastos de personal con el </w:t>
            </w:r>
            <w:r w:rsidR="007A7D26">
              <w:rPr>
                <w:rFonts w:ascii="Verdana" w:hAnsi="Verdana" w:cs="Arial"/>
                <w:sz w:val="20"/>
                <w:szCs w:val="20"/>
              </w:rPr>
              <w:t>44,89</w:t>
            </w:r>
            <w:r w:rsidRPr="007C68D7">
              <w:rPr>
                <w:rFonts w:ascii="Verdana" w:hAnsi="Verdana" w:cs="Arial"/>
                <w:sz w:val="20"/>
                <w:szCs w:val="20"/>
              </w:rPr>
              <w:t>%.</w:t>
            </w:r>
          </w:p>
          <w:p w:rsidR="007C68D7" w:rsidRPr="007C68D7" w:rsidRDefault="007C68D7" w:rsidP="005F4A60">
            <w:pPr>
              <w:jc w:val="both"/>
              <w:rPr>
                <w:rFonts w:ascii="Verdana" w:hAnsi="Verdana" w:cs="Arial"/>
                <w:sz w:val="20"/>
                <w:szCs w:val="20"/>
              </w:rPr>
            </w:pPr>
            <w:r w:rsidRPr="007C68D7">
              <w:rPr>
                <w:rFonts w:ascii="Verdana" w:hAnsi="Verdana" w:cs="Arial"/>
                <w:sz w:val="20"/>
                <w:szCs w:val="20"/>
              </w:rPr>
              <w:t xml:space="preserve">2) Gastos por adquisición de bienes y servicios con el </w:t>
            </w:r>
            <w:r w:rsidR="007A7D26">
              <w:rPr>
                <w:rFonts w:ascii="Verdana" w:hAnsi="Verdana" w:cs="Arial"/>
                <w:sz w:val="20"/>
                <w:szCs w:val="20"/>
              </w:rPr>
              <w:t>18,31</w:t>
            </w:r>
            <w:r w:rsidRPr="007C68D7">
              <w:rPr>
                <w:rFonts w:ascii="Verdana" w:hAnsi="Verdana" w:cs="Arial"/>
                <w:sz w:val="20"/>
                <w:szCs w:val="20"/>
              </w:rPr>
              <w:t>%.</w:t>
            </w:r>
          </w:p>
          <w:p w:rsidR="00765CCE" w:rsidRDefault="007C68D7" w:rsidP="005F4A60">
            <w:pPr>
              <w:jc w:val="both"/>
              <w:rPr>
                <w:rFonts w:ascii="Verdana" w:hAnsi="Verdana" w:cs="Arial"/>
                <w:sz w:val="20"/>
                <w:szCs w:val="20"/>
              </w:rPr>
            </w:pPr>
            <w:r w:rsidRPr="007C68D7">
              <w:rPr>
                <w:rFonts w:ascii="Verdana" w:hAnsi="Verdana" w:cs="Arial"/>
                <w:sz w:val="20"/>
                <w:szCs w:val="20"/>
              </w:rPr>
              <w:lastRenderedPageBreak/>
              <w:t xml:space="preserve">3) </w:t>
            </w:r>
            <w:r w:rsidR="009B1E57">
              <w:rPr>
                <w:rFonts w:ascii="Verdana" w:hAnsi="Verdana" w:cs="Arial"/>
                <w:sz w:val="20"/>
                <w:szCs w:val="20"/>
              </w:rPr>
              <w:t xml:space="preserve">Gastos </w:t>
            </w:r>
            <w:r w:rsidR="009B1E57" w:rsidRPr="00882814">
              <w:rPr>
                <w:rFonts w:ascii="Verdana" w:hAnsi="Verdana" w:cs="Arial"/>
                <w:sz w:val="20"/>
                <w:szCs w:val="20"/>
              </w:rPr>
              <w:t xml:space="preserve">de transferencias corrientes representan el </w:t>
            </w:r>
            <w:r w:rsidR="007A7D26">
              <w:rPr>
                <w:rFonts w:ascii="Verdana" w:hAnsi="Verdana" w:cs="Arial"/>
                <w:sz w:val="20"/>
                <w:szCs w:val="20"/>
              </w:rPr>
              <w:t>36,81</w:t>
            </w:r>
            <w:r w:rsidR="009B1E57" w:rsidRPr="00882814">
              <w:rPr>
                <w:rFonts w:ascii="Verdana" w:hAnsi="Verdana" w:cs="Arial"/>
                <w:sz w:val="20"/>
                <w:szCs w:val="20"/>
              </w:rPr>
              <w:t xml:space="preserve">%, </w:t>
            </w:r>
            <w:r w:rsidR="007A7D26" w:rsidRPr="00882814">
              <w:rPr>
                <w:rFonts w:ascii="Verdana" w:hAnsi="Verdana" w:cs="Arial"/>
                <w:sz w:val="20"/>
                <w:szCs w:val="20"/>
              </w:rPr>
              <w:t>el 36</w:t>
            </w:r>
            <w:r w:rsidR="007A7D26">
              <w:rPr>
                <w:rFonts w:ascii="Verdana" w:hAnsi="Verdana" w:cs="Arial"/>
                <w:sz w:val="20"/>
                <w:szCs w:val="20"/>
              </w:rPr>
              <w:t>,63</w:t>
            </w:r>
            <w:r w:rsidR="009B1E57" w:rsidRPr="00882814">
              <w:rPr>
                <w:rFonts w:ascii="Verdana" w:hAnsi="Verdana" w:cs="Arial"/>
                <w:sz w:val="20"/>
                <w:szCs w:val="20"/>
              </w:rPr>
              <w:t xml:space="preserve">% correspondientes a gastos del Fondo de Cooperación y Asistencia Internacional – FOCAI Y el </w:t>
            </w:r>
            <w:r w:rsidR="00765CCE">
              <w:rPr>
                <w:rFonts w:ascii="Verdana" w:hAnsi="Verdana" w:cs="Arial"/>
                <w:sz w:val="20"/>
                <w:szCs w:val="20"/>
              </w:rPr>
              <w:t>0,</w:t>
            </w:r>
            <w:r w:rsidR="007A7D26">
              <w:rPr>
                <w:rFonts w:ascii="Verdana" w:hAnsi="Verdana" w:cs="Arial"/>
                <w:sz w:val="20"/>
                <w:szCs w:val="20"/>
              </w:rPr>
              <w:t>17</w:t>
            </w:r>
            <w:r w:rsidR="009B1E57" w:rsidRPr="00882814">
              <w:rPr>
                <w:rFonts w:ascii="Verdana" w:hAnsi="Verdana" w:cs="Arial"/>
                <w:sz w:val="20"/>
                <w:szCs w:val="20"/>
              </w:rPr>
              <w:t>% a Incapaci</w:t>
            </w:r>
            <w:r w:rsidR="00765CCE">
              <w:rPr>
                <w:rFonts w:ascii="Verdana" w:hAnsi="Verdana" w:cs="Arial"/>
                <w:sz w:val="20"/>
                <w:szCs w:val="20"/>
              </w:rPr>
              <w:t>dades y Licencias de maternidad y paternidad.</w:t>
            </w:r>
          </w:p>
          <w:p w:rsidR="008B1B31" w:rsidRPr="007C68D7" w:rsidRDefault="00765CCE" w:rsidP="005F4A60">
            <w:pPr>
              <w:jc w:val="both"/>
              <w:rPr>
                <w:rFonts w:ascii="Verdana" w:hAnsi="Verdana" w:cs="Arial"/>
                <w:sz w:val="20"/>
                <w:szCs w:val="20"/>
              </w:rPr>
            </w:pPr>
            <w:r w:rsidRPr="007C68D7">
              <w:rPr>
                <w:rFonts w:ascii="Verdana" w:hAnsi="Verdana" w:cs="Arial"/>
                <w:sz w:val="20"/>
                <w:szCs w:val="20"/>
              </w:rPr>
              <w:t xml:space="preserve"> </w:t>
            </w:r>
          </w:p>
          <w:p w:rsidR="007C68D7" w:rsidRDefault="007C68D7" w:rsidP="005F4A60">
            <w:pPr>
              <w:jc w:val="both"/>
              <w:rPr>
                <w:rFonts w:ascii="Verdana" w:hAnsi="Verdana" w:cs="Arial"/>
                <w:sz w:val="20"/>
                <w:szCs w:val="20"/>
              </w:rPr>
            </w:pPr>
            <w:r w:rsidRPr="007C68D7">
              <w:rPr>
                <w:rFonts w:ascii="Verdana" w:hAnsi="Verdana" w:cs="Arial"/>
                <w:sz w:val="20"/>
                <w:szCs w:val="20"/>
              </w:rPr>
              <w:t xml:space="preserve"> La ejecución de los gastos de inversión estuvo distribuida así:</w:t>
            </w:r>
          </w:p>
          <w:p w:rsidR="00536A3B" w:rsidRDefault="00536A3B" w:rsidP="005F4A60">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w:t>
            </w:r>
            <w:r w:rsidR="002D289A">
              <w:rPr>
                <w:rFonts w:ascii="Verdana" w:hAnsi="Verdana" w:cs="Arial"/>
                <w:sz w:val="20"/>
                <w:szCs w:val="20"/>
              </w:rPr>
              <w:t>25,89</w:t>
            </w:r>
            <w:r>
              <w:rPr>
                <w:rFonts w:ascii="Verdana" w:hAnsi="Verdana" w:cs="Arial"/>
                <w:sz w:val="20"/>
                <w:szCs w:val="20"/>
              </w:rPr>
              <w:t xml:space="preserve">% de la ejecución de inversión, equivalente a </w:t>
            </w:r>
            <w:r w:rsidR="0003676F">
              <w:rPr>
                <w:rFonts w:ascii="Verdana" w:hAnsi="Verdana" w:cs="Arial"/>
                <w:sz w:val="20"/>
                <w:szCs w:val="20"/>
              </w:rPr>
              <w:t>1.323,6</w:t>
            </w:r>
            <w:r>
              <w:rPr>
                <w:rFonts w:ascii="Verdana" w:hAnsi="Verdana" w:cs="Arial"/>
                <w:sz w:val="20"/>
                <w:szCs w:val="20"/>
              </w:rPr>
              <w:t xml:space="preserve"> para </w:t>
            </w:r>
            <w:r w:rsidR="0003676F">
              <w:rPr>
                <w:rFonts w:ascii="Verdana" w:hAnsi="Verdana" w:cs="Arial"/>
                <w:sz w:val="20"/>
                <w:szCs w:val="20"/>
              </w:rPr>
              <w:t xml:space="preserve">la ejecución total </w:t>
            </w:r>
            <w:r w:rsidR="002D289A">
              <w:rPr>
                <w:rFonts w:ascii="Verdana" w:hAnsi="Verdana" w:cs="Arial"/>
                <w:sz w:val="20"/>
                <w:szCs w:val="20"/>
              </w:rPr>
              <w:t>del pago</w:t>
            </w:r>
            <w:r>
              <w:rPr>
                <w:rFonts w:ascii="Verdana" w:hAnsi="Verdana" w:cs="Arial"/>
                <w:sz w:val="20"/>
                <w:szCs w:val="20"/>
              </w:rPr>
              <w:t xml:space="preserve"> del contrato con el ICETEX.</w:t>
            </w:r>
          </w:p>
          <w:p w:rsidR="00536A3B" w:rsidRDefault="00536A3B" w:rsidP="005F4A60">
            <w:pPr>
              <w:jc w:val="both"/>
              <w:rPr>
                <w:rFonts w:ascii="Verdana" w:hAnsi="Verdana" w:cs="Arial"/>
                <w:sz w:val="20"/>
                <w:szCs w:val="20"/>
              </w:rPr>
            </w:pPr>
            <w:r>
              <w:rPr>
                <w:rFonts w:ascii="Verdana" w:hAnsi="Verdana" w:cs="Arial"/>
                <w:sz w:val="20"/>
                <w:szCs w:val="20"/>
              </w:rPr>
              <w:t xml:space="preserve">2) </w:t>
            </w:r>
            <w:r>
              <w:t>I</w:t>
            </w:r>
            <w:r w:rsidRPr="00BD6CAD">
              <w:rPr>
                <w:rFonts w:ascii="Verdana" w:hAnsi="Verdana" w:cs="Arial"/>
                <w:sz w:val="20"/>
                <w:szCs w:val="20"/>
              </w:rPr>
              <w:t xml:space="preserve">mplementación de proyectos de cooperación internacional no reembolsable con aporte de recursos de </w:t>
            </w:r>
            <w:r w:rsidR="005629C1" w:rsidRPr="00BD6CAD">
              <w:rPr>
                <w:rFonts w:ascii="Verdana" w:hAnsi="Verdana" w:cs="Arial"/>
                <w:sz w:val="20"/>
                <w:szCs w:val="20"/>
              </w:rPr>
              <w:t>contrapartida nacional</w:t>
            </w:r>
            <w:r>
              <w:rPr>
                <w:rFonts w:ascii="Verdana" w:hAnsi="Verdana" w:cs="Arial"/>
                <w:sz w:val="20"/>
                <w:szCs w:val="20"/>
              </w:rPr>
              <w:t xml:space="preserve"> con el </w:t>
            </w:r>
            <w:r w:rsidR="002D289A">
              <w:rPr>
                <w:rFonts w:ascii="Verdana" w:hAnsi="Verdana" w:cs="Arial"/>
                <w:sz w:val="20"/>
                <w:szCs w:val="20"/>
              </w:rPr>
              <w:t>8,98</w:t>
            </w:r>
            <w:r>
              <w:rPr>
                <w:rFonts w:ascii="Verdana" w:hAnsi="Verdana" w:cs="Arial"/>
                <w:sz w:val="20"/>
                <w:szCs w:val="20"/>
              </w:rPr>
              <w:t xml:space="preserve">% de la ejecución de inversión, equivalente a </w:t>
            </w:r>
            <w:r w:rsidR="00625E0A">
              <w:rPr>
                <w:rFonts w:ascii="Verdana" w:hAnsi="Verdana" w:cs="Arial"/>
                <w:sz w:val="20"/>
                <w:szCs w:val="20"/>
              </w:rPr>
              <w:t>459,1</w:t>
            </w:r>
            <w:r>
              <w:rPr>
                <w:rFonts w:ascii="Verdana" w:hAnsi="Verdana" w:cs="Arial"/>
                <w:sz w:val="20"/>
                <w:szCs w:val="20"/>
              </w:rPr>
              <w:t xml:space="preserve"> millones para el pago del Convenio interadministrativo con el Hospital </w:t>
            </w:r>
            <w:r w:rsidR="00625E0A">
              <w:rPr>
                <w:rFonts w:ascii="Verdana" w:hAnsi="Verdana" w:cs="Arial"/>
                <w:sz w:val="20"/>
                <w:szCs w:val="20"/>
              </w:rPr>
              <w:t>local de Tauramena y el Convenio de asociación con La Fundación Plan.</w:t>
            </w:r>
          </w:p>
          <w:p w:rsidR="007C68D7" w:rsidRPr="007C68D7" w:rsidRDefault="00536A3B" w:rsidP="005F4A60">
            <w:pPr>
              <w:jc w:val="both"/>
              <w:rPr>
                <w:rFonts w:ascii="Verdana" w:hAnsi="Verdana" w:cs="Arial"/>
                <w:sz w:val="20"/>
                <w:szCs w:val="20"/>
              </w:rPr>
            </w:pPr>
            <w:r>
              <w:rPr>
                <w:rFonts w:ascii="Verdana" w:hAnsi="Verdana" w:cs="Arial"/>
                <w:sz w:val="20"/>
                <w:szCs w:val="20"/>
              </w:rPr>
              <w:t>3</w:t>
            </w:r>
            <w:r w:rsidR="007C68D7" w:rsidRPr="007C68D7">
              <w:rPr>
                <w:rFonts w:ascii="Verdana" w:hAnsi="Verdana" w:cs="Arial"/>
                <w:sz w:val="20"/>
                <w:szCs w:val="20"/>
              </w:rPr>
              <w:t xml:space="preserve">) Administración de Recursos de Cooperación con el </w:t>
            </w:r>
            <w:r w:rsidR="005629C1">
              <w:rPr>
                <w:rFonts w:ascii="Verdana" w:hAnsi="Verdana" w:cs="Arial"/>
                <w:sz w:val="20"/>
                <w:szCs w:val="20"/>
              </w:rPr>
              <w:t>61,29</w:t>
            </w:r>
            <w:r w:rsidR="007C68D7" w:rsidRPr="007C68D7">
              <w:rPr>
                <w:rFonts w:ascii="Verdana" w:hAnsi="Verdana" w:cs="Arial"/>
                <w:sz w:val="20"/>
                <w:szCs w:val="20"/>
              </w:rPr>
              <w:t xml:space="preserve">% de la ejecución en inversión, equivalente a </w:t>
            </w:r>
            <w:r w:rsidR="005629C1">
              <w:rPr>
                <w:rFonts w:ascii="Verdana" w:hAnsi="Verdana" w:cs="Arial"/>
                <w:sz w:val="20"/>
                <w:szCs w:val="20"/>
              </w:rPr>
              <w:t>3.133,6</w:t>
            </w:r>
            <w:r w:rsidR="007C68D7" w:rsidRPr="007C68D7">
              <w:rPr>
                <w:rFonts w:ascii="Verdana" w:hAnsi="Verdana" w:cs="Arial"/>
                <w:sz w:val="20"/>
                <w:szCs w:val="20"/>
              </w:rPr>
              <w:t xml:space="preserve"> millones, distribuidos así:</w:t>
            </w:r>
          </w:p>
          <w:p w:rsidR="008B4BA6" w:rsidRDefault="008B4BA6" w:rsidP="005F4A60">
            <w:pPr>
              <w:jc w:val="both"/>
              <w:rPr>
                <w:rFonts w:ascii="Verdana" w:hAnsi="Verdana" w:cs="Arial"/>
                <w:sz w:val="20"/>
                <w:szCs w:val="20"/>
              </w:rPr>
            </w:pPr>
            <w:r>
              <w:rPr>
                <w:rFonts w:ascii="Verdana" w:hAnsi="Verdana" w:cs="Arial"/>
                <w:sz w:val="20"/>
                <w:szCs w:val="20"/>
              </w:rPr>
              <w:t xml:space="preserve">a) </w:t>
            </w:r>
            <w:r w:rsidR="00536A3B">
              <w:rPr>
                <w:rFonts w:ascii="Verdana" w:hAnsi="Verdana" w:cs="Arial"/>
                <w:sz w:val="20"/>
                <w:szCs w:val="20"/>
              </w:rPr>
              <w:t>338,2</w:t>
            </w:r>
            <w:r>
              <w:rPr>
                <w:rFonts w:ascii="Verdana" w:hAnsi="Verdana" w:cs="Arial"/>
                <w:sz w:val="20"/>
                <w:szCs w:val="20"/>
              </w:rPr>
              <w:t xml:space="preserve"> millones, pagos del proyecto </w:t>
            </w:r>
            <w:r w:rsidRPr="008B4BA6">
              <w:rPr>
                <w:rFonts w:ascii="Verdana" w:hAnsi="Verdana" w:cs="Arial"/>
                <w:sz w:val="20"/>
                <w:szCs w:val="20"/>
              </w:rPr>
              <w:t xml:space="preserve">PMR </w:t>
            </w:r>
            <w:r>
              <w:rPr>
                <w:rFonts w:ascii="Verdana" w:hAnsi="Verdana" w:cs="Arial"/>
                <w:sz w:val="20"/>
                <w:szCs w:val="20"/>
              </w:rPr>
              <w:t>Banco M</w:t>
            </w:r>
            <w:r w:rsidRPr="008B4BA6">
              <w:rPr>
                <w:rFonts w:ascii="Verdana" w:hAnsi="Verdana" w:cs="Arial"/>
                <w:sz w:val="20"/>
                <w:szCs w:val="20"/>
              </w:rPr>
              <w:t>undial</w:t>
            </w:r>
            <w:r>
              <w:rPr>
                <w:rFonts w:ascii="Verdana" w:hAnsi="Verdana" w:cs="Arial"/>
                <w:sz w:val="20"/>
                <w:szCs w:val="20"/>
              </w:rPr>
              <w:t xml:space="preserve"> (</w:t>
            </w:r>
            <w:r w:rsidR="0093202B" w:rsidRPr="008B4BA6">
              <w:rPr>
                <w:rFonts w:ascii="Verdana" w:hAnsi="Verdana" w:cs="Arial"/>
                <w:sz w:val="20"/>
                <w:szCs w:val="20"/>
              </w:rPr>
              <w:t>Agitos Foundation</w:t>
            </w:r>
            <w:r>
              <w:rPr>
                <w:rFonts w:ascii="Verdana" w:hAnsi="Verdana" w:cs="Arial"/>
                <w:sz w:val="20"/>
                <w:szCs w:val="20"/>
              </w:rPr>
              <w:t>).</w:t>
            </w:r>
          </w:p>
          <w:p w:rsidR="007C68D7" w:rsidRPr="007C68D7" w:rsidRDefault="008B4BA6" w:rsidP="005F4A60">
            <w:pPr>
              <w:jc w:val="both"/>
              <w:rPr>
                <w:rFonts w:ascii="Verdana" w:hAnsi="Verdana" w:cs="Arial"/>
                <w:sz w:val="20"/>
                <w:szCs w:val="20"/>
              </w:rPr>
            </w:pPr>
            <w:r>
              <w:rPr>
                <w:rFonts w:ascii="Verdana" w:hAnsi="Verdana" w:cs="Arial"/>
                <w:sz w:val="20"/>
                <w:szCs w:val="20"/>
              </w:rPr>
              <w:t>b</w:t>
            </w:r>
            <w:r w:rsidR="007C68D7" w:rsidRPr="007C68D7">
              <w:rPr>
                <w:rFonts w:ascii="Verdana" w:hAnsi="Verdana" w:cs="Arial"/>
                <w:sz w:val="20"/>
                <w:szCs w:val="20"/>
              </w:rPr>
              <w:t xml:space="preserve">) </w:t>
            </w:r>
            <w:r w:rsidR="00625E0A">
              <w:rPr>
                <w:rFonts w:ascii="Verdana" w:hAnsi="Verdana" w:cs="Arial"/>
                <w:sz w:val="20"/>
                <w:szCs w:val="20"/>
              </w:rPr>
              <w:t>1.</w:t>
            </w:r>
            <w:r w:rsidR="000E691B">
              <w:rPr>
                <w:rFonts w:ascii="Verdana" w:hAnsi="Verdana" w:cs="Arial"/>
                <w:sz w:val="20"/>
                <w:szCs w:val="20"/>
              </w:rPr>
              <w:t>188</w:t>
            </w:r>
            <w:r w:rsidR="00625E0A">
              <w:rPr>
                <w:rFonts w:ascii="Verdana" w:hAnsi="Verdana" w:cs="Arial"/>
                <w:sz w:val="20"/>
                <w:szCs w:val="20"/>
              </w:rPr>
              <w:t>,1</w:t>
            </w:r>
            <w:r w:rsidR="007C68D7" w:rsidRPr="007C68D7">
              <w:rPr>
                <w:rFonts w:ascii="Verdana" w:hAnsi="Verdana" w:cs="Arial"/>
                <w:sz w:val="20"/>
                <w:szCs w:val="20"/>
              </w:rPr>
              <w:t xml:space="preserve"> millones, pagos realizados en el marco del proyecto “Estrategia regional de emprendimiento” financiado con recursos donados por la Unión Europea.</w:t>
            </w:r>
          </w:p>
          <w:p w:rsidR="007C68D7" w:rsidRDefault="008B4BA6" w:rsidP="005F4A60">
            <w:pPr>
              <w:jc w:val="both"/>
              <w:rPr>
                <w:rFonts w:ascii="Verdana" w:hAnsi="Verdana" w:cs="Arial"/>
                <w:sz w:val="20"/>
                <w:szCs w:val="20"/>
              </w:rPr>
            </w:pPr>
            <w:r>
              <w:rPr>
                <w:rFonts w:ascii="Verdana" w:hAnsi="Verdana" w:cs="Arial"/>
                <w:sz w:val="20"/>
                <w:szCs w:val="20"/>
              </w:rPr>
              <w:t>c</w:t>
            </w:r>
            <w:r w:rsidR="007C68D7" w:rsidRPr="007C68D7">
              <w:rPr>
                <w:rFonts w:ascii="Verdana" w:hAnsi="Verdana" w:cs="Arial"/>
                <w:sz w:val="20"/>
                <w:szCs w:val="20"/>
              </w:rPr>
              <w:t xml:space="preserve">) </w:t>
            </w:r>
            <w:r w:rsidR="00625E0A">
              <w:rPr>
                <w:rFonts w:ascii="Verdana" w:hAnsi="Verdana" w:cs="Arial"/>
                <w:sz w:val="20"/>
                <w:szCs w:val="20"/>
              </w:rPr>
              <w:t>1</w:t>
            </w:r>
            <w:r w:rsidR="000E691B">
              <w:rPr>
                <w:rFonts w:ascii="Verdana" w:hAnsi="Verdana" w:cs="Arial"/>
                <w:sz w:val="20"/>
                <w:szCs w:val="20"/>
              </w:rPr>
              <w:t>.389,0</w:t>
            </w:r>
            <w:r w:rsidR="007C68D7" w:rsidRPr="007C68D7">
              <w:rPr>
                <w:rFonts w:ascii="Verdana" w:hAnsi="Verdana" w:cs="Arial"/>
                <w:sz w:val="20"/>
                <w:szCs w:val="20"/>
              </w:rPr>
              <w:t xml:space="preserve"> millones, pagos del proyecto de desminado terrestre en el marco del convenio de subvención firmado con la fundación Howard </w:t>
            </w:r>
            <w:r w:rsidR="00EA559F" w:rsidRPr="007C68D7">
              <w:rPr>
                <w:rFonts w:ascii="Verdana" w:hAnsi="Verdana" w:cs="Arial"/>
                <w:sz w:val="20"/>
                <w:szCs w:val="20"/>
              </w:rPr>
              <w:t>Buffet</w:t>
            </w:r>
            <w:r w:rsidR="007C68D7" w:rsidRPr="007C68D7">
              <w:rPr>
                <w:rFonts w:ascii="Verdana" w:hAnsi="Verdana" w:cs="Arial"/>
                <w:sz w:val="20"/>
                <w:szCs w:val="20"/>
              </w:rPr>
              <w:t>.</w:t>
            </w:r>
          </w:p>
          <w:p w:rsidR="00EA559F" w:rsidRDefault="008B4BA6" w:rsidP="005F4A60">
            <w:pPr>
              <w:jc w:val="both"/>
              <w:rPr>
                <w:rFonts w:ascii="Verdana" w:hAnsi="Verdana" w:cs="Arial"/>
                <w:sz w:val="20"/>
                <w:szCs w:val="20"/>
              </w:rPr>
            </w:pPr>
            <w:r>
              <w:rPr>
                <w:rFonts w:ascii="Verdana" w:hAnsi="Verdana" w:cs="Arial"/>
                <w:sz w:val="20"/>
                <w:szCs w:val="20"/>
              </w:rPr>
              <w:t xml:space="preserve">d) </w:t>
            </w:r>
            <w:r w:rsidR="00C6679A">
              <w:rPr>
                <w:rFonts w:ascii="Verdana" w:hAnsi="Verdana" w:cs="Arial"/>
                <w:sz w:val="20"/>
                <w:szCs w:val="20"/>
              </w:rPr>
              <w:t>210</w:t>
            </w:r>
            <w:r w:rsidR="00625E0A">
              <w:rPr>
                <w:rFonts w:ascii="Verdana" w:hAnsi="Verdana" w:cs="Arial"/>
                <w:sz w:val="20"/>
                <w:szCs w:val="20"/>
              </w:rPr>
              <w:t>,</w:t>
            </w:r>
            <w:r w:rsidR="00C6679A">
              <w:rPr>
                <w:rFonts w:ascii="Verdana" w:hAnsi="Verdana" w:cs="Arial"/>
                <w:sz w:val="20"/>
                <w:szCs w:val="20"/>
              </w:rPr>
              <w:t>2</w:t>
            </w:r>
            <w:r w:rsidR="00EA559F">
              <w:rPr>
                <w:rFonts w:ascii="Verdana" w:hAnsi="Verdana" w:cs="Arial"/>
                <w:sz w:val="20"/>
                <w:szCs w:val="20"/>
              </w:rPr>
              <w:t xml:space="preserve"> millones del proyecto Fondo Verde del Clima.</w:t>
            </w:r>
          </w:p>
          <w:p w:rsidR="00625E0A" w:rsidRDefault="00C6679A" w:rsidP="00625E0A">
            <w:pPr>
              <w:jc w:val="both"/>
              <w:rPr>
                <w:rFonts w:ascii="Verdana" w:hAnsi="Verdana" w:cs="Arial"/>
                <w:sz w:val="20"/>
                <w:szCs w:val="20"/>
              </w:rPr>
            </w:pPr>
            <w:r>
              <w:rPr>
                <w:rFonts w:ascii="Verdana" w:hAnsi="Verdana" w:cs="Arial"/>
                <w:sz w:val="20"/>
                <w:szCs w:val="20"/>
              </w:rPr>
              <w:t>e) 8</w:t>
            </w:r>
            <w:r w:rsidR="00625E0A">
              <w:rPr>
                <w:rFonts w:ascii="Verdana" w:hAnsi="Verdana" w:cs="Arial"/>
                <w:sz w:val="20"/>
                <w:szCs w:val="20"/>
              </w:rPr>
              <w:t>,0 millones del Proyecto con Corporación Andina de Fomento-CAF.</w:t>
            </w:r>
          </w:p>
          <w:p w:rsidR="00CE57ED" w:rsidRPr="007C68D7" w:rsidRDefault="00CE57ED" w:rsidP="005F4A60">
            <w:pPr>
              <w:jc w:val="both"/>
              <w:rPr>
                <w:rFonts w:ascii="Verdana" w:hAnsi="Verdana" w:cs="Arial"/>
                <w:sz w:val="20"/>
                <w:szCs w:val="20"/>
              </w:rPr>
            </w:pPr>
          </w:p>
          <w:p w:rsidR="000B678D" w:rsidRPr="00D8725F" w:rsidRDefault="00E7783B" w:rsidP="00DC5FA6">
            <w:pPr>
              <w:jc w:val="both"/>
              <w:rPr>
                <w:rFonts w:ascii="Verdana" w:hAnsi="Verdana" w:cs="Arial"/>
                <w:sz w:val="20"/>
                <w:szCs w:val="20"/>
              </w:rPr>
            </w:pPr>
            <w:r>
              <w:rPr>
                <w:rFonts w:ascii="Verdana" w:hAnsi="Verdana" w:cs="Arial"/>
                <w:sz w:val="20"/>
                <w:szCs w:val="20"/>
              </w:rPr>
              <w:t>4</w:t>
            </w:r>
            <w:r w:rsidR="007C68D7" w:rsidRPr="007C68D7">
              <w:rPr>
                <w:rFonts w:ascii="Verdana" w:hAnsi="Verdana" w:cs="Arial"/>
                <w:sz w:val="20"/>
                <w:szCs w:val="20"/>
              </w:rPr>
              <w:t xml:space="preserve">) Fortalecimiento de las capacidades tecnológicas de la información en APC-COLOMBIA, con el </w:t>
            </w:r>
            <w:r w:rsidR="00CC4C07">
              <w:rPr>
                <w:rFonts w:ascii="Verdana" w:hAnsi="Verdana" w:cs="Arial"/>
                <w:sz w:val="20"/>
                <w:szCs w:val="20"/>
              </w:rPr>
              <w:t>3,84</w:t>
            </w:r>
            <w:r w:rsidR="007C68D7" w:rsidRPr="007C68D7">
              <w:rPr>
                <w:rFonts w:ascii="Verdana" w:hAnsi="Verdana" w:cs="Arial"/>
                <w:sz w:val="20"/>
                <w:szCs w:val="20"/>
              </w:rPr>
              <w:t xml:space="preserve">% de la ejecución en inversión, equivalente a </w:t>
            </w:r>
            <w:r w:rsidR="00CC4C07">
              <w:rPr>
                <w:rFonts w:ascii="Verdana" w:hAnsi="Verdana" w:cs="Arial"/>
                <w:sz w:val="20"/>
                <w:szCs w:val="20"/>
              </w:rPr>
              <w:t>196,1</w:t>
            </w:r>
            <w:r w:rsidR="007C68D7" w:rsidRPr="007C68D7">
              <w:rPr>
                <w:rFonts w:ascii="Verdana" w:hAnsi="Verdana" w:cs="Arial"/>
                <w:sz w:val="20"/>
                <w:szCs w:val="20"/>
              </w:rPr>
              <w:t xml:space="preserve"> millones para </w:t>
            </w:r>
            <w:r w:rsidR="00536A3B">
              <w:rPr>
                <w:rFonts w:ascii="Verdana" w:hAnsi="Verdana" w:cs="Arial"/>
                <w:sz w:val="20"/>
                <w:szCs w:val="20"/>
              </w:rPr>
              <w:t xml:space="preserve">el pago de </w:t>
            </w:r>
            <w:r w:rsidR="007C68D7" w:rsidRPr="007C68D7">
              <w:rPr>
                <w:rFonts w:ascii="Verdana" w:hAnsi="Verdana" w:cs="Arial"/>
                <w:sz w:val="20"/>
                <w:szCs w:val="20"/>
              </w:rPr>
              <w:t>los servicios profesionales para la gestión del proyecto</w:t>
            </w:r>
            <w:r w:rsidR="00536A3B">
              <w:rPr>
                <w:rFonts w:ascii="Verdana" w:hAnsi="Verdana" w:cs="Arial"/>
                <w:sz w:val="20"/>
                <w:szCs w:val="20"/>
              </w:rPr>
              <w:t xml:space="preserve"> y el pago </w:t>
            </w:r>
            <w:r w:rsidR="006533FC">
              <w:rPr>
                <w:rFonts w:ascii="Verdana" w:hAnsi="Verdana" w:cs="Arial"/>
                <w:sz w:val="20"/>
                <w:szCs w:val="20"/>
              </w:rPr>
              <w:t xml:space="preserve">facturas </w:t>
            </w:r>
            <w:r w:rsidR="00536A3B">
              <w:rPr>
                <w:rFonts w:ascii="Verdana" w:hAnsi="Verdana" w:cs="Arial"/>
                <w:sz w:val="20"/>
                <w:szCs w:val="20"/>
              </w:rPr>
              <w:t xml:space="preserve">de contratos de </w:t>
            </w:r>
            <w:r w:rsidR="00DC5FA6">
              <w:rPr>
                <w:rFonts w:ascii="Verdana" w:hAnsi="Verdana" w:cs="Arial"/>
                <w:sz w:val="20"/>
                <w:szCs w:val="20"/>
              </w:rPr>
              <w:t>Ximil Technologies SAS,</w:t>
            </w:r>
            <w:r w:rsidR="00D8725F" w:rsidRPr="00D8725F">
              <w:rPr>
                <w:rFonts w:ascii="Verdana" w:hAnsi="Verdana" w:cs="Arial"/>
                <w:sz w:val="20"/>
                <w:szCs w:val="20"/>
              </w:rPr>
              <w:t xml:space="preserve"> con la Un&amp;On </w:t>
            </w:r>
            <w:r w:rsidR="00D8725F" w:rsidRPr="00D8725F">
              <w:rPr>
                <w:rFonts w:ascii="Verdana" w:hAnsi="Verdana" w:cs="Arial"/>
                <w:sz w:val="20"/>
                <w:szCs w:val="20"/>
              </w:rPr>
              <w:lastRenderedPageBreak/>
              <w:t>Soluciones Sistemas De Información S.A.S</w:t>
            </w:r>
            <w:r w:rsidR="006533FC">
              <w:rPr>
                <w:rFonts w:ascii="Verdana" w:hAnsi="Verdana" w:cs="Arial"/>
                <w:sz w:val="20"/>
                <w:szCs w:val="20"/>
              </w:rPr>
              <w:t>,</w:t>
            </w:r>
            <w:r w:rsidR="00DC5FA6">
              <w:rPr>
                <w:rFonts w:ascii="Verdana" w:hAnsi="Verdana" w:cs="Arial"/>
                <w:sz w:val="20"/>
                <w:szCs w:val="20"/>
              </w:rPr>
              <w:t xml:space="preserve"> ITS</w:t>
            </w:r>
            <w:r w:rsidR="00DC5FA6" w:rsidRPr="00DC5FA6">
              <w:rPr>
                <w:rFonts w:ascii="Verdana" w:hAnsi="Verdana" w:cs="Arial"/>
                <w:sz w:val="20"/>
                <w:szCs w:val="20"/>
              </w:rPr>
              <w:t xml:space="preserve"> Soluciones Estratégicas</w:t>
            </w:r>
            <w:r w:rsidR="00DC5FA6">
              <w:rPr>
                <w:rFonts w:ascii="Verdana" w:hAnsi="Verdana" w:cs="Arial"/>
                <w:sz w:val="20"/>
                <w:szCs w:val="20"/>
              </w:rPr>
              <w:t xml:space="preserve"> S.A.S</w:t>
            </w:r>
            <w:r w:rsidR="006533FC">
              <w:rPr>
                <w:rFonts w:ascii="Verdana" w:hAnsi="Verdana" w:cs="Arial"/>
                <w:sz w:val="20"/>
                <w:szCs w:val="20"/>
              </w:rPr>
              <w:t xml:space="preserve"> y</w:t>
            </w:r>
            <w:r w:rsidR="006533FC">
              <w:t xml:space="preserve"> </w:t>
            </w:r>
            <w:r w:rsidR="006533FC" w:rsidRPr="006533FC">
              <w:rPr>
                <w:rFonts w:ascii="Verdana" w:hAnsi="Verdana" w:cs="Arial"/>
                <w:sz w:val="20"/>
                <w:szCs w:val="20"/>
              </w:rPr>
              <w:t>RFID Tecnología SAS</w:t>
            </w:r>
            <w:r w:rsidR="006533FC">
              <w:rPr>
                <w:rFonts w:ascii="Verdana" w:hAnsi="Verdana" w:cs="Arial"/>
                <w:sz w:val="20"/>
                <w:szCs w:val="20"/>
              </w:rPr>
              <w:t>.</w:t>
            </w:r>
          </w:p>
        </w:tc>
      </w:tr>
    </w:tbl>
    <w:p w:rsidR="00CA4EC6" w:rsidRDefault="00CA4EC6" w:rsidP="00B41CB3">
      <w:pPr>
        <w:jc w:val="center"/>
        <w:rPr>
          <w:rFonts w:ascii="Verdana" w:hAnsi="Verdana"/>
          <w:b/>
          <w:sz w:val="20"/>
          <w:szCs w:val="20"/>
        </w:rPr>
      </w:pPr>
    </w:p>
    <w:p w:rsidR="00DF7912" w:rsidRDefault="00DF7912" w:rsidP="00B41CB3">
      <w:pPr>
        <w:jc w:val="center"/>
        <w:rPr>
          <w:rFonts w:ascii="Verdana" w:hAnsi="Verdana"/>
          <w:b/>
          <w:sz w:val="20"/>
          <w:szCs w:val="20"/>
        </w:rPr>
      </w:pPr>
    </w:p>
    <w:p w:rsidR="007E4852" w:rsidRPr="003C58A7" w:rsidRDefault="007E4852" w:rsidP="005109A6">
      <w:pPr>
        <w:rPr>
          <w:rFonts w:ascii="Verdana" w:hAnsi="Verdana"/>
          <w:b/>
          <w:sz w:val="20"/>
          <w:szCs w:val="20"/>
        </w:rPr>
      </w:pPr>
    </w:p>
    <w:p w:rsidR="00873972" w:rsidRPr="00396EB5" w:rsidRDefault="00873972" w:rsidP="00B41CB3">
      <w:pPr>
        <w:jc w:val="center"/>
        <w:rPr>
          <w:rFonts w:ascii="Verdana" w:hAnsi="Verdana"/>
          <w:b/>
          <w:szCs w:val="20"/>
        </w:rPr>
      </w:pPr>
      <w:r w:rsidRPr="00396EB5">
        <w:rPr>
          <w:rFonts w:ascii="Verdana" w:hAnsi="Verdana"/>
          <w:b/>
          <w:szCs w:val="20"/>
        </w:rPr>
        <w:t>Presupuesto de Funcionamiento</w:t>
      </w:r>
    </w:p>
    <w:p w:rsidR="005572D7" w:rsidRPr="008D7A3E" w:rsidRDefault="005572D7" w:rsidP="00B41CB3">
      <w:pPr>
        <w:jc w:val="center"/>
        <w:rPr>
          <w:rFonts w:ascii="Verdana" w:hAnsi="Verdana"/>
          <w:b/>
          <w:sz w:val="22"/>
          <w:szCs w:val="20"/>
        </w:rPr>
      </w:pPr>
    </w:p>
    <w:tbl>
      <w:tblPr>
        <w:tblStyle w:val="Tablaconcuadrcula"/>
        <w:tblW w:w="0" w:type="auto"/>
        <w:tblLook w:val="04A0" w:firstRow="1" w:lastRow="0" w:firstColumn="1" w:lastColumn="0" w:noHBand="0" w:noVBand="1"/>
      </w:tblPr>
      <w:tblGrid>
        <w:gridCol w:w="6639"/>
        <w:gridCol w:w="6639"/>
      </w:tblGrid>
      <w:tr w:rsidR="00355DFC" w:rsidRPr="003A4A1F" w:rsidTr="001E6A86">
        <w:tc>
          <w:tcPr>
            <w:tcW w:w="7064" w:type="dxa"/>
          </w:tcPr>
          <w:p w:rsidR="00873972" w:rsidRPr="00841C2D" w:rsidRDefault="00873972" w:rsidP="00B41CB3">
            <w:pPr>
              <w:jc w:val="center"/>
              <w:rPr>
                <w:rFonts w:ascii="Verdana" w:hAnsi="Verdana"/>
                <w:b/>
                <w:sz w:val="22"/>
                <w:szCs w:val="20"/>
              </w:rPr>
            </w:pPr>
            <w:r w:rsidRPr="00841C2D">
              <w:rPr>
                <w:rFonts w:ascii="Verdana" w:hAnsi="Verdana"/>
                <w:b/>
                <w:sz w:val="22"/>
                <w:szCs w:val="20"/>
              </w:rPr>
              <w:t>C</w:t>
            </w:r>
            <w:r w:rsidR="003F2322" w:rsidRPr="00841C2D">
              <w:rPr>
                <w:rFonts w:ascii="Verdana" w:hAnsi="Verdana"/>
                <w:b/>
                <w:sz w:val="22"/>
                <w:szCs w:val="20"/>
              </w:rPr>
              <w:t>ompromisos</w:t>
            </w:r>
          </w:p>
        </w:tc>
        <w:tc>
          <w:tcPr>
            <w:tcW w:w="7064" w:type="dxa"/>
          </w:tcPr>
          <w:p w:rsidR="00873972" w:rsidRPr="00841C2D" w:rsidRDefault="00873972" w:rsidP="00B41CB3">
            <w:pPr>
              <w:jc w:val="center"/>
              <w:rPr>
                <w:rFonts w:ascii="Verdana" w:hAnsi="Verdana"/>
                <w:b/>
                <w:sz w:val="22"/>
                <w:szCs w:val="20"/>
              </w:rPr>
            </w:pPr>
            <w:r w:rsidRPr="00841C2D">
              <w:rPr>
                <w:rFonts w:ascii="Verdana" w:hAnsi="Verdana"/>
                <w:b/>
                <w:sz w:val="22"/>
                <w:szCs w:val="20"/>
              </w:rPr>
              <w:t>O</w:t>
            </w:r>
            <w:r w:rsidR="003F2322" w:rsidRPr="00841C2D">
              <w:rPr>
                <w:rFonts w:ascii="Verdana" w:hAnsi="Verdana"/>
                <w:b/>
                <w:sz w:val="22"/>
                <w:szCs w:val="20"/>
              </w:rPr>
              <w:t>bligaciones</w:t>
            </w:r>
          </w:p>
        </w:tc>
      </w:tr>
      <w:tr w:rsidR="00355DFC" w:rsidRPr="003A4A1F" w:rsidTr="0069199D">
        <w:trPr>
          <w:trHeight w:val="557"/>
        </w:trPr>
        <w:tc>
          <w:tcPr>
            <w:tcW w:w="7064" w:type="dxa"/>
          </w:tcPr>
          <w:p w:rsidR="00A81738" w:rsidRPr="00FC1311" w:rsidRDefault="00A81738" w:rsidP="00A81738">
            <w:pPr>
              <w:jc w:val="both"/>
              <w:rPr>
                <w:rFonts w:ascii="Verdana" w:hAnsi="Verdana"/>
                <w:sz w:val="20"/>
                <w:szCs w:val="20"/>
              </w:rPr>
            </w:pPr>
            <w:r w:rsidRPr="00FC1311">
              <w:rPr>
                <w:rFonts w:ascii="Verdana" w:hAnsi="Verdana"/>
                <w:b/>
                <w:sz w:val="20"/>
                <w:szCs w:val="20"/>
              </w:rPr>
              <w:t>Indicador:</w:t>
            </w:r>
            <w:r w:rsidRPr="00FC1311">
              <w:rPr>
                <w:rFonts w:ascii="Verdana" w:hAnsi="Verdana"/>
                <w:sz w:val="20"/>
                <w:szCs w:val="20"/>
              </w:rPr>
              <w:t xml:space="preserve"> Ejecución Compromisos / Apropiación Vigente.</w:t>
            </w:r>
          </w:p>
          <w:p w:rsidR="00A81738" w:rsidRPr="008D7A3E" w:rsidRDefault="00A81738" w:rsidP="00A81738">
            <w:pPr>
              <w:jc w:val="both"/>
              <w:rPr>
                <w:rFonts w:ascii="Verdana" w:hAnsi="Verdana"/>
                <w:sz w:val="20"/>
                <w:szCs w:val="20"/>
              </w:rPr>
            </w:pPr>
            <w:r w:rsidRPr="00FC1311">
              <w:rPr>
                <w:rFonts w:ascii="Verdana" w:hAnsi="Verdana"/>
                <w:b/>
                <w:sz w:val="20"/>
                <w:szCs w:val="20"/>
              </w:rPr>
              <w:t>Indicador:</w:t>
            </w:r>
            <w:r w:rsidR="00291F1C" w:rsidRPr="00FC1311">
              <w:rPr>
                <w:rFonts w:ascii="Verdana" w:hAnsi="Verdana"/>
                <w:b/>
                <w:sz w:val="20"/>
                <w:szCs w:val="20"/>
              </w:rPr>
              <w:t xml:space="preserve"> </w:t>
            </w:r>
            <w:r w:rsidR="003040EE">
              <w:rPr>
                <w:rFonts w:ascii="Verdana" w:hAnsi="Verdana"/>
                <w:sz w:val="20"/>
                <w:szCs w:val="20"/>
              </w:rPr>
              <w:t>17.509</w:t>
            </w:r>
            <w:r w:rsidR="003A32AB">
              <w:rPr>
                <w:rFonts w:ascii="Verdana" w:hAnsi="Verdana"/>
                <w:sz w:val="20"/>
                <w:szCs w:val="20"/>
              </w:rPr>
              <w:t>,</w:t>
            </w:r>
            <w:r w:rsidR="003040EE">
              <w:rPr>
                <w:rFonts w:ascii="Verdana" w:hAnsi="Verdana"/>
                <w:sz w:val="20"/>
                <w:szCs w:val="20"/>
              </w:rPr>
              <w:t>8</w:t>
            </w:r>
            <w:r w:rsidR="00291F1C" w:rsidRPr="00FC1311">
              <w:rPr>
                <w:rFonts w:ascii="Verdana" w:hAnsi="Verdana"/>
                <w:sz w:val="20"/>
                <w:szCs w:val="20"/>
              </w:rPr>
              <w:t xml:space="preserve"> </w:t>
            </w:r>
            <w:r w:rsidR="00B378AF" w:rsidRPr="00FC1311">
              <w:rPr>
                <w:rFonts w:ascii="Verdana" w:hAnsi="Verdana"/>
                <w:sz w:val="20"/>
                <w:szCs w:val="20"/>
              </w:rPr>
              <w:t>/</w:t>
            </w:r>
            <w:r w:rsidR="00291F1C" w:rsidRPr="00FC1311">
              <w:rPr>
                <w:rFonts w:ascii="Verdana" w:hAnsi="Verdana"/>
                <w:sz w:val="20"/>
                <w:szCs w:val="20"/>
              </w:rPr>
              <w:t xml:space="preserve"> 28.415,0</w:t>
            </w:r>
            <w:r w:rsidR="00B378AF" w:rsidRPr="00FC1311">
              <w:rPr>
                <w:rFonts w:ascii="Verdana" w:hAnsi="Verdana"/>
                <w:sz w:val="20"/>
                <w:szCs w:val="20"/>
              </w:rPr>
              <w:t xml:space="preserve"> </w:t>
            </w:r>
            <w:r w:rsidR="00241F24" w:rsidRPr="00FC1311">
              <w:rPr>
                <w:rFonts w:ascii="Verdana" w:hAnsi="Verdana"/>
                <w:sz w:val="20"/>
                <w:szCs w:val="20"/>
              </w:rPr>
              <w:t xml:space="preserve">= </w:t>
            </w:r>
            <w:r w:rsidR="003040EE">
              <w:rPr>
                <w:rFonts w:ascii="Verdana" w:hAnsi="Verdana"/>
                <w:sz w:val="20"/>
                <w:szCs w:val="20"/>
              </w:rPr>
              <w:t>61,62</w:t>
            </w:r>
            <w:r w:rsidRPr="00FC1311">
              <w:rPr>
                <w:rFonts w:ascii="Verdana" w:hAnsi="Verdana"/>
                <w:sz w:val="20"/>
                <w:szCs w:val="20"/>
              </w:rPr>
              <w:t>%.</w:t>
            </w:r>
          </w:p>
          <w:p w:rsidR="00A81738" w:rsidRPr="003A4A1F" w:rsidRDefault="00A81738" w:rsidP="00A81738">
            <w:pPr>
              <w:jc w:val="both"/>
              <w:rPr>
                <w:rFonts w:ascii="Verdana" w:hAnsi="Verdana"/>
                <w:sz w:val="20"/>
                <w:szCs w:val="20"/>
                <w:highlight w:val="yellow"/>
              </w:rPr>
            </w:pPr>
          </w:p>
          <w:p w:rsidR="003A32AB" w:rsidRDefault="009A2528" w:rsidP="00A81738">
            <w:pPr>
              <w:jc w:val="both"/>
              <w:rPr>
                <w:rFonts w:ascii="Verdana" w:hAnsi="Verdana" w:cs="Arial"/>
                <w:b/>
                <w:sz w:val="20"/>
                <w:szCs w:val="20"/>
              </w:rPr>
            </w:pPr>
            <w:r>
              <w:rPr>
                <w:rFonts w:ascii="Verdana" w:hAnsi="Verdana"/>
                <w:sz w:val="20"/>
                <w:szCs w:val="20"/>
              </w:rPr>
              <w:t xml:space="preserve">Se ha comprometido el </w:t>
            </w:r>
            <w:r w:rsidR="003040EE">
              <w:rPr>
                <w:rFonts w:ascii="Verdana" w:hAnsi="Verdana"/>
                <w:sz w:val="20"/>
                <w:szCs w:val="20"/>
              </w:rPr>
              <w:t>61,62</w:t>
            </w:r>
            <w:r w:rsidR="00A81738" w:rsidRPr="008D7A3E">
              <w:rPr>
                <w:rFonts w:ascii="Verdana" w:hAnsi="Verdana"/>
                <w:sz w:val="20"/>
                <w:szCs w:val="20"/>
              </w:rPr>
              <w:t xml:space="preserve">% del presupuesto de funcionamiento equivalente a </w:t>
            </w:r>
            <w:r w:rsidR="003040EE">
              <w:rPr>
                <w:rFonts w:ascii="Verdana" w:hAnsi="Verdana"/>
                <w:sz w:val="20"/>
                <w:szCs w:val="20"/>
              </w:rPr>
              <w:t>17.509,8</w:t>
            </w:r>
            <w:r w:rsidR="00241F24" w:rsidRPr="008D7A3E">
              <w:rPr>
                <w:rFonts w:ascii="Verdana" w:hAnsi="Verdana"/>
                <w:sz w:val="20"/>
                <w:szCs w:val="20"/>
              </w:rPr>
              <w:t xml:space="preserve"> millones, de una meta del </w:t>
            </w:r>
            <w:r w:rsidR="003040EE">
              <w:rPr>
                <w:rFonts w:ascii="Verdana" w:hAnsi="Verdana"/>
                <w:sz w:val="20"/>
                <w:szCs w:val="20"/>
              </w:rPr>
              <w:t>56,63</w:t>
            </w:r>
            <w:r w:rsidR="00DF4C03">
              <w:rPr>
                <w:rFonts w:ascii="Verdana" w:hAnsi="Verdana"/>
                <w:sz w:val="20"/>
                <w:szCs w:val="20"/>
              </w:rPr>
              <w:t>%, generando</w:t>
            </w:r>
            <w:r w:rsidR="00A81738" w:rsidRPr="008D7A3E">
              <w:rPr>
                <w:rFonts w:ascii="Verdana" w:hAnsi="Verdana"/>
                <w:sz w:val="20"/>
                <w:szCs w:val="20"/>
              </w:rPr>
              <w:t xml:space="preserve"> un </w:t>
            </w:r>
            <w:r w:rsidR="00DF4C03">
              <w:rPr>
                <w:rFonts w:ascii="Verdana" w:hAnsi="Verdana"/>
                <w:sz w:val="20"/>
                <w:szCs w:val="20"/>
              </w:rPr>
              <w:t>superávit d</w:t>
            </w:r>
            <w:r w:rsidR="00A81738" w:rsidRPr="008D7A3E">
              <w:rPr>
                <w:rFonts w:ascii="Verdana" w:hAnsi="Verdana"/>
                <w:sz w:val="20"/>
                <w:szCs w:val="20"/>
              </w:rPr>
              <w:t xml:space="preserve">e </w:t>
            </w:r>
            <w:r w:rsidR="003040EE">
              <w:rPr>
                <w:rFonts w:ascii="Verdana" w:hAnsi="Verdana"/>
                <w:sz w:val="20"/>
                <w:szCs w:val="20"/>
              </w:rPr>
              <w:t>1.419,4</w:t>
            </w:r>
            <w:r w:rsidR="00241F24" w:rsidRPr="008D7A3E">
              <w:rPr>
                <w:rFonts w:ascii="Verdana" w:hAnsi="Verdana"/>
                <w:sz w:val="20"/>
                <w:szCs w:val="20"/>
              </w:rPr>
              <w:t xml:space="preserve"> </w:t>
            </w:r>
            <w:r w:rsidR="00634DFF" w:rsidRPr="008D7A3E">
              <w:rPr>
                <w:rFonts w:ascii="Verdana" w:hAnsi="Verdana"/>
                <w:sz w:val="20"/>
                <w:szCs w:val="20"/>
              </w:rPr>
              <w:t>millones, explicado así</w:t>
            </w:r>
            <w:r w:rsidR="00FF07B5" w:rsidRPr="008D7A3E">
              <w:rPr>
                <w:rFonts w:ascii="Verdana" w:hAnsi="Verdana"/>
                <w:sz w:val="20"/>
                <w:szCs w:val="20"/>
              </w:rPr>
              <w:t xml:space="preserve">: </w:t>
            </w:r>
            <w:r w:rsidR="00F75874" w:rsidRPr="00902BE7">
              <w:rPr>
                <w:rFonts w:ascii="Verdana" w:hAnsi="Verdana" w:cs="Arial"/>
                <w:sz w:val="20"/>
                <w:szCs w:val="20"/>
              </w:rPr>
              <w:t xml:space="preserve">1) </w:t>
            </w:r>
            <w:r w:rsidR="00F75874">
              <w:rPr>
                <w:rFonts w:ascii="Verdana" w:hAnsi="Verdana" w:cs="Arial"/>
                <w:sz w:val="20"/>
                <w:szCs w:val="20"/>
              </w:rPr>
              <w:t>Superávit</w:t>
            </w:r>
            <w:r w:rsidR="00F75874" w:rsidRPr="00902BE7">
              <w:rPr>
                <w:rFonts w:ascii="Verdana" w:hAnsi="Verdana" w:cs="Arial"/>
                <w:sz w:val="20"/>
                <w:szCs w:val="20"/>
              </w:rPr>
              <w:t xml:space="preserve"> en la ejecución de gastos de personal por </w:t>
            </w:r>
            <w:r w:rsidR="00F75874">
              <w:rPr>
                <w:rFonts w:ascii="Verdana" w:hAnsi="Verdana" w:cs="Arial"/>
                <w:sz w:val="20"/>
                <w:szCs w:val="20"/>
              </w:rPr>
              <w:t>73,1</w:t>
            </w:r>
            <w:r w:rsidR="00F75874" w:rsidRPr="00902BE7">
              <w:rPr>
                <w:rFonts w:ascii="Verdana" w:hAnsi="Verdana" w:cs="Arial"/>
                <w:sz w:val="20"/>
                <w:szCs w:val="20"/>
              </w:rPr>
              <w:t xml:space="preserve"> millones</w:t>
            </w:r>
            <w:r w:rsidR="00F75874">
              <w:rPr>
                <w:rFonts w:ascii="Verdana" w:hAnsi="Verdana" w:cs="Arial"/>
                <w:sz w:val="20"/>
                <w:szCs w:val="20"/>
              </w:rPr>
              <w:t>,</w:t>
            </w:r>
            <w:r w:rsidR="00F75874" w:rsidRPr="0049603A">
              <w:rPr>
                <w:rFonts w:ascii="Verdana" w:hAnsi="Verdana" w:cs="Arial"/>
                <w:sz w:val="20"/>
                <w:szCs w:val="20"/>
              </w:rPr>
              <w:t xml:space="preserve"> se cumplió la meta</w:t>
            </w:r>
            <w:r w:rsidR="00F75874">
              <w:rPr>
                <w:rFonts w:ascii="Verdana" w:hAnsi="Verdana" w:cs="Arial"/>
                <w:sz w:val="20"/>
                <w:szCs w:val="20"/>
              </w:rPr>
              <w:t xml:space="preserve">. </w:t>
            </w:r>
            <w:r w:rsidR="00F75874" w:rsidRPr="00902BE7">
              <w:rPr>
                <w:rFonts w:ascii="Verdana" w:hAnsi="Verdana" w:cs="Arial"/>
                <w:sz w:val="20"/>
                <w:szCs w:val="20"/>
              </w:rPr>
              <w:t xml:space="preserve">2) </w:t>
            </w:r>
            <w:r w:rsidR="00F75874">
              <w:rPr>
                <w:rFonts w:ascii="Verdana" w:hAnsi="Verdana" w:cs="Arial"/>
                <w:sz w:val="20"/>
                <w:szCs w:val="20"/>
              </w:rPr>
              <w:t xml:space="preserve">superávit </w:t>
            </w:r>
            <w:r w:rsidR="00F75874" w:rsidRPr="00902BE7">
              <w:rPr>
                <w:rFonts w:ascii="Verdana" w:hAnsi="Verdana" w:cs="Arial"/>
                <w:sz w:val="20"/>
                <w:szCs w:val="20"/>
              </w:rPr>
              <w:t xml:space="preserve">en adquisición de bienes y servicios por </w:t>
            </w:r>
            <w:r w:rsidR="00F75874">
              <w:rPr>
                <w:rFonts w:ascii="Verdana" w:hAnsi="Verdana" w:cs="Arial"/>
                <w:sz w:val="20"/>
                <w:szCs w:val="20"/>
              </w:rPr>
              <w:t>329,0</w:t>
            </w:r>
            <w:r w:rsidR="00F75874" w:rsidRPr="00902BE7">
              <w:rPr>
                <w:rFonts w:ascii="Verdana" w:hAnsi="Verdana" w:cs="Arial"/>
                <w:sz w:val="20"/>
                <w:szCs w:val="20"/>
              </w:rPr>
              <w:t xml:space="preserve"> millones,</w:t>
            </w:r>
            <w:r w:rsidR="00F75874">
              <w:rPr>
                <w:rFonts w:ascii="Verdana" w:hAnsi="Verdana" w:cs="Arial"/>
                <w:sz w:val="20"/>
                <w:szCs w:val="20"/>
              </w:rPr>
              <w:t xml:space="preserve"> se cumplió la meta, debido que este mes se realizó el pago a la Comisión Nacional Del Servicio y  el contrato de adquisición de elementos de papelería y útiles de oficina para la entidad </w:t>
            </w:r>
            <w:r w:rsidR="00F75874" w:rsidRPr="009C75C1">
              <w:rPr>
                <w:rFonts w:ascii="Verdana" w:hAnsi="Verdana" w:cs="Arial"/>
                <w:sz w:val="20"/>
                <w:szCs w:val="20"/>
              </w:rPr>
              <w:t xml:space="preserve">3) Superávit  en la ejecución de transferencias corrientes por </w:t>
            </w:r>
            <w:r w:rsidR="00F75874">
              <w:rPr>
                <w:rFonts w:ascii="Verdana" w:hAnsi="Verdana" w:cs="Arial"/>
                <w:sz w:val="20"/>
                <w:szCs w:val="20"/>
              </w:rPr>
              <w:t>1.017,3</w:t>
            </w:r>
            <w:r w:rsidR="00F75874" w:rsidRPr="009C75C1">
              <w:rPr>
                <w:rFonts w:ascii="Verdana" w:hAnsi="Verdana" w:cs="Arial"/>
                <w:sz w:val="20"/>
                <w:szCs w:val="20"/>
              </w:rPr>
              <w:t xml:space="preserve"> millones, discriminado así: i) </w:t>
            </w:r>
            <w:r w:rsidR="00F75874">
              <w:rPr>
                <w:rFonts w:ascii="Verdana" w:hAnsi="Verdana" w:cs="Arial"/>
                <w:sz w:val="20"/>
                <w:szCs w:val="20"/>
              </w:rPr>
              <w:t>S</w:t>
            </w:r>
            <w:r w:rsidR="00F75874" w:rsidRPr="0049603A">
              <w:rPr>
                <w:rFonts w:ascii="Verdana" w:hAnsi="Verdana" w:cs="Arial"/>
                <w:sz w:val="20"/>
                <w:szCs w:val="20"/>
              </w:rPr>
              <w:t xml:space="preserve">uperávit de </w:t>
            </w:r>
            <w:r w:rsidR="00F75874">
              <w:rPr>
                <w:rFonts w:ascii="Verdana" w:hAnsi="Verdana" w:cs="Arial"/>
                <w:sz w:val="20"/>
                <w:szCs w:val="20"/>
              </w:rPr>
              <w:t>1.024,5</w:t>
            </w:r>
            <w:r w:rsidR="00F75874" w:rsidRPr="0049603A">
              <w:rPr>
                <w:rFonts w:ascii="Verdana" w:hAnsi="Verdana" w:cs="Arial"/>
                <w:sz w:val="20"/>
                <w:szCs w:val="20"/>
              </w:rPr>
              <w:t xml:space="preserve"> millones de recursos provenientes del FOCAI, </w:t>
            </w:r>
            <w:r w:rsidR="00F75874">
              <w:rPr>
                <w:rFonts w:ascii="Verdana" w:hAnsi="Verdana" w:cs="Arial"/>
                <w:sz w:val="20"/>
                <w:szCs w:val="20"/>
              </w:rPr>
              <w:t xml:space="preserve">se realizó una asistencia humanitaria </w:t>
            </w:r>
            <w:r w:rsidR="00F75874">
              <w:rPr>
                <w:rFonts w:ascii="Verdana" w:hAnsi="Verdana" w:cs="Arial"/>
                <w:sz w:val="20"/>
                <w:szCs w:val="20"/>
              </w:rPr>
              <w:lastRenderedPageBreak/>
              <w:t>con destino al Gobierno de la Mancomunidad De Las Bahamas de la organización de Estados Americanos y se ejecutaron todas las actividades previstas de gastos de viaje,</w:t>
            </w:r>
            <w:r w:rsidR="00F75874" w:rsidRPr="00007EA0">
              <w:rPr>
                <w:rFonts w:ascii="Verdana" w:hAnsi="Verdana" w:cs="Arial"/>
                <w:sz w:val="20"/>
                <w:szCs w:val="20"/>
              </w:rPr>
              <w:t xml:space="preserve"> </w:t>
            </w:r>
            <w:r w:rsidR="00F75874">
              <w:rPr>
                <w:rFonts w:ascii="Verdana" w:hAnsi="Verdana" w:cs="Arial"/>
                <w:sz w:val="20"/>
                <w:szCs w:val="20"/>
              </w:rPr>
              <w:t xml:space="preserve">se </w:t>
            </w:r>
            <w:r w:rsidR="00F75874" w:rsidRPr="0049603A">
              <w:rPr>
                <w:rFonts w:ascii="Verdana" w:hAnsi="Verdana" w:cs="Arial"/>
                <w:sz w:val="20"/>
                <w:szCs w:val="20"/>
              </w:rPr>
              <w:t xml:space="preserve">cumplió la meta; ii) </w:t>
            </w:r>
            <w:r w:rsidR="00F75874">
              <w:rPr>
                <w:rFonts w:ascii="Verdana" w:hAnsi="Verdana" w:cs="Arial"/>
                <w:sz w:val="20"/>
                <w:szCs w:val="20"/>
              </w:rPr>
              <w:t>se presentó déficit de 7,0 millones de incapacidades y licencias de maternidad este rubro varía según las incapacidades y licencias que radican el talento humano</w:t>
            </w:r>
            <w:r w:rsidR="00F75874">
              <w:rPr>
                <w:rFonts w:ascii="Verdana" w:hAnsi="Verdana" w:cs="Arial"/>
                <w:b/>
                <w:sz w:val="20"/>
                <w:szCs w:val="20"/>
              </w:rPr>
              <w:t xml:space="preserve">. </w:t>
            </w:r>
          </w:p>
          <w:p w:rsidR="00F75874" w:rsidRPr="00F75874" w:rsidRDefault="00F75874" w:rsidP="00A81738">
            <w:pPr>
              <w:jc w:val="both"/>
              <w:rPr>
                <w:rFonts w:ascii="Verdana" w:hAnsi="Verdana"/>
                <w:sz w:val="20"/>
                <w:szCs w:val="20"/>
              </w:rPr>
            </w:pPr>
          </w:p>
          <w:p w:rsidR="00F75874" w:rsidRDefault="00F75874" w:rsidP="00F75874">
            <w:pPr>
              <w:jc w:val="both"/>
              <w:rPr>
                <w:rFonts w:ascii="Verdana" w:hAnsi="Verdana" w:cs="Arial"/>
                <w:sz w:val="20"/>
                <w:szCs w:val="20"/>
              </w:rPr>
            </w:pPr>
            <w:r w:rsidRPr="00882814">
              <w:rPr>
                <w:rFonts w:ascii="Verdana" w:hAnsi="Verdana" w:cs="Arial"/>
                <w:sz w:val="20"/>
                <w:szCs w:val="20"/>
              </w:rPr>
              <w:t xml:space="preserve">La ejecución de los gastos de funcionamiento estuvo distribuida de la siguiente manera: </w:t>
            </w:r>
          </w:p>
          <w:p w:rsidR="00F75874" w:rsidRPr="00882814" w:rsidRDefault="00F75874" w:rsidP="00F75874">
            <w:pPr>
              <w:jc w:val="both"/>
              <w:rPr>
                <w:rFonts w:ascii="Verdana" w:hAnsi="Verdana" w:cs="Arial"/>
                <w:sz w:val="20"/>
                <w:szCs w:val="20"/>
              </w:rPr>
            </w:pPr>
          </w:p>
          <w:p w:rsidR="00F75874" w:rsidRPr="00882814" w:rsidRDefault="00F75874" w:rsidP="00F75874">
            <w:pPr>
              <w:jc w:val="both"/>
              <w:rPr>
                <w:rFonts w:ascii="Verdana" w:hAnsi="Verdana" w:cs="Arial"/>
                <w:sz w:val="20"/>
                <w:szCs w:val="20"/>
              </w:rPr>
            </w:pPr>
            <w:r w:rsidRPr="00882814">
              <w:rPr>
                <w:rFonts w:ascii="Verdana" w:hAnsi="Verdana" w:cs="Arial"/>
                <w:sz w:val="20"/>
                <w:szCs w:val="20"/>
              </w:rPr>
              <w:t xml:space="preserve">1) Los gastos de personal representan el </w:t>
            </w:r>
            <w:r>
              <w:rPr>
                <w:rFonts w:ascii="Verdana" w:hAnsi="Verdana" w:cs="Arial"/>
                <w:sz w:val="20"/>
                <w:szCs w:val="20"/>
              </w:rPr>
              <w:t>38,89</w:t>
            </w:r>
            <w:r w:rsidRPr="00882814">
              <w:rPr>
                <w:rFonts w:ascii="Verdana" w:hAnsi="Verdana" w:cs="Arial"/>
                <w:sz w:val="20"/>
                <w:szCs w:val="20"/>
              </w:rPr>
              <w:t>%.</w:t>
            </w:r>
          </w:p>
          <w:p w:rsidR="00F75874" w:rsidRPr="00882814" w:rsidRDefault="00F75874" w:rsidP="00F75874">
            <w:pPr>
              <w:jc w:val="both"/>
              <w:rPr>
                <w:rFonts w:ascii="Verdana" w:hAnsi="Verdana" w:cs="Arial"/>
                <w:sz w:val="20"/>
                <w:szCs w:val="20"/>
              </w:rPr>
            </w:pPr>
            <w:r w:rsidRPr="00882814">
              <w:rPr>
                <w:rFonts w:ascii="Verdana" w:hAnsi="Verdana" w:cs="Arial"/>
                <w:sz w:val="20"/>
                <w:szCs w:val="20"/>
              </w:rPr>
              <w:t xml:space="preserve">2) Los gastos por adquisición de bienes y servicios representan el </w:t>
            </w:r>
            <w:r>
              <w:rPr>
                <w:rFonts w:ascii="Verdana" w:hAnsi="Verdana" w:cs="Arial"/>
                <w:sz w:val="20"/>
                <w:szCs w:val="20"/>
              </w:rPr>
              <w:t>18,45</w:t>
            </w:r>
            <w:r w:rsidRPr="00882814">
              <w:rPr>
                <w:rFonts w:ascii="Verdana" w:hAnsi="Verdana" w:cs="Arial"/>
                <w:sz w:val="20"/>
                <w:szCs w:val="20"/>
              </w:rPr>
              <w:t>%.</w:t>
            </w:r>
          </w:p>
          <w:p w:rsidR="00F75874" w:rsidRDefault="00F75874" w:rsidP="00F75874">
            <w:pPr>
              <w:jc w:val="both"/>
              <w:rPr>
                <w:rFonts w:ascii="Verdana" w:hAnsi="Verdana" w:cs="Arial"/>
                <w:sz w:val="20"/>
                <w:szCs w:val="20"/>
              </w:rPr>
            </w:pPr>
            <w:r w:rsidRPr="00882814">
              <w:rPr>
                <w:rFonts w:ascii="Verdana" w:hAnsi="Verdana" w:cs="Arial"/>
                <w:sz w:val="20"/>
                <w:szCs w:val="20"/>
              </w:rPr>
              <w:t xml:space="preserve">3) Los gastos de transferencias corrientes representan el </w:t>
            </w:r>
            <w:r>
              <w:rPr>
                <w:rFonts w:ascii="Verdana" w:hAnsi="Verdana" w:cs="Arial"/>
                <w:sz w:val="20"/>
                <w:szCs w:val="20"/>
              </w:rPr>
              <w:t>47,66%, el 47,53</w:t>
            </w:r>
            <w:r w:rsidRPr="00882814">
              <w:rPr>
                <w:rFonts w:ascii="Verdana" w:hAnsi="Verdana" w:cs="Arial"/>
                <w:sz w:val="20"/>
                <w:szCs w:val="20"/>
              </w:rPr>
              <w:t xml:space="preserve">% correspondientes a gastos del Fondo de Cooperación y Asistencia Internacional – FOCAI Y el </w:t>
            </w:r>
            <w:r>
              <w:rPr>
                <w:rFonts w:ascii="Verdana" w:hAnsi="Verdana" w:cs="Arial"/>
                <w:sz w:val="20"/>
                <w:szCs w:val="20"/>
              </w:rPr>
              <w:t>0,13</w:t>
            </w:r>
            <w:r w:rsidRPr="00882814">
              <w:rPr>
                <w:rFonts w:ascii="Verdana" w:hAnsi="Verdana" w:cs="Arial"/>
                <w:sz w:val="20"/>
                <w:szCs w:val="20"/>
              </w:rPr>
              <w:t>% a Incapacidades y Licencias de maternidad</w:t>
            </w:r>
            <w:r>
              <w:rPr>
                <w:rFonts w:ascii="Verdana" w:hAnsi="Verdana" w:cs="Arial"/>
                <w:sz w:val="20"/>
                <w:szCs w:val="20"/>
              </w:rPr>
              <w:t xml:space="preserve"> y paternidad</w:t>
            </w:r>
            <w:r w:rsidRPr="00882814">
              <w:rPr>
                <w:rFonts w:ascii="Verdana" w:hAnsi="Verdana" w:cs="Arial"/>
                <w:sz w:val="20"/>
                <w:szCs w:val="20"/>
              </w:rPr>
              <w:t>.</w:t>
            </w:r>
          </w:p>
          <w:p w:rsidR="00873972" w:rsidRPr="00DF4C03" w:rsidRDefault="00873972" w:rsidP="008D1343">
            <w:pPr>
              <w:jc w:val="both"/>
              <w:rPr>
                <w:rFonts w:ascii="Verdana" w:hAnsi="Verdana"/>
                <w:sz w:val="20"/>
                <w:szCs w:val="20"/>
              </w:rPr>
            </w:pPr>
          </w:p>
        </w:tc>
        <w:tc>
          <w:tcPr>
            <w:tcW w:w="7064" w:type="dxa"/>
            <w:vAlign w:val="center"/>
          </w:tcPr>
          <w:p w:rsidR="00A81738" w:rsidRPr="008D7A3E" w:rsidRDefault="00A81738" w:rsidP="00EB3AF9">
            <w:pPr>
              <w:jc w:val="both"/>
              <w:rPr>
                <w:rFonts w:ascii="Verdana" w:hAnsi="Verdana"/>
                <w:sz w:val="20"/>
                <w:szCs w:val="20"/>
              </w:rPr>
            </w:pPr>
            <w:r w:rsidRPr="008D7A3E">
              <w:rPr>
                <w:rFonts w:ascii="Verdana" w:hAnsi="Verdana"/>
                <w:b/>
                <w:sz w:val="20"/>
                <w:szCs w:val="20"/>
              </w:rPr>
              <w:lastRenderedPageBreak/>
              <w:t xml:space="preserve">Indicador: </w:t>
            </w:r>
            <w:r w:rsidRPr="008D7A3E">
              <w:rPr>
                <w:rFonts w:ascii="Verdana" w:hAnsi="Verdana"/>
                <w:sz w:val="20"/>
                <w:szCs w:val="20"/>
              </w:rPr>
              <w:t>Ejecución Obligaciones / Apropiación Vigente.</w:t>
            </w:r>
          </w:p>
          <w:p w:rsidR="00A81738" w:rsidRPr="008D7A3E" w:rsidRDefault="007A6E7B" w:rsidP="00EB3AF9">
            <w:pPr>
              <w:jc w:val="both"/>
              <w:rPr>
                <w:rFonts w:ascii="Verdana" w:hAnsi="Verdana"/>
                <w:sz w:val="20"/>
                <w:szCs w:val="20"/>
              </w:rPr>
            </w:pPr>
            <w:r w:rsidRPr="008D7A3E">
              <w:rPr>
                <w:rFonts w:ascii="Verdana" w:hAnsi="Verdana"/>
                <w:b/>
                <w:sz w:val="20"/>
                <w:szCs w:val="20"/>
              </w:rPr>
              <w:t>Indicador</w:t>
            </w:r>
            <w:r w:rsidR="00F75874">
              <w:rPr>
                <w:rFonts w:ascii="Verdana" w:hAnsi="Verdana"/>
                <w:b/>
                <w:sz w:val="20"/>
                <w:szCs w:val="20"/>
              </w:rPr>
              <w:t xml:space="preserve">: </w:t>
            </w:r>
            <w:r w:rsidR="00F75874" w:rsidRPr="00F75874">
              <w:rPr>
                <w:rFonts w:ascii="Verdana" w:hAnsi="Verdana"/>
                <w:sz w:val="20"/>
                <w:szCs w:val="20"/>
              </w:rPr>
              <w:t>13.219,8</w:t>
            </w:r>
            <w:r w:rsidR="008C5467" w:rsidRPr="00F75874">
              <w:rPr>
                <w:rFonts w:ascii="Verdana" w:hAnsi="Verdana"/>
                <w:sz w:val="20"/>
                <w:szCs w:val="20"/>
              </w:rPr>
              <w:t>/</w:t>
            </w:r>
            <w:r w:rsidR="008C5467" w:rsidRPr="008D7A3E">
              <w:rPr>
                <w:rFonts w:ascii="Verdana" w:hAnsi="Verdana"/>
                <w:sz w:val="20"/>
                <w:szCs w:val="20"/>
              </w:rPr>
              <w:t xml:space="preserve"> </w:t>
            </w:r>
            <w:r w:rsidR="00291F1C" w:rsidRPr="008D7A3E">
              <w:rPr>
                <w:rFonts w:ascii="Verdana" w:hAnsi="Verdana"/>
                <w:sz w:val="20"/>
                <w:szCs w:val="20"/>
              </w:rPr>
              <w:t xml:space="preserve">28.415,0 </w:t>
            </w:r>
            <w:r w:rsidR="00A81738" w:rsidRPr="008D7A3E">
              <w:rPr>
                <w:rFonts w:ascii="Verdana" w:hAnsi="Verdana"/>
                <w:sz w:val="20"/>
                <w:szCs w:val="20"/>
              </w:rPr>
              <w:t xml:space="preserve">= </w:t>
            </w:r>
            <w:r w:rsidR="00F75874">
              <w:rPr>
                <w:rFonts w:ascii="Verdana" w:hAnsi="Verdana"/>
                <w:sz w:val="20"/>
                <w:szCs w:val="20"/>
              </w:rPr>
              <w:t>46,52</w:t>
            </w:r>
            <w:r w:rsidR="00A81738" w:rsidRPr="008D7A3E">
              <w:rPr>
                <w:rFonts w:ascii="Verdana" w:hAnsi="Verdana"/>
                <w:sz w:val="20"/>
                <w:szCs w:val="20"/>
              </w:rPr>
              <w:t>%.</w:t>
            </w:r>
          </w:p>
          <w:p w:rsidR="00A81738" w:rsidRPr="003A4A1F" w:rsidRDefault="00A81738" w:rsidP="00EB3AF9">
            <w:pPr>
              <w:jc w:val="both"/>
              <w:rPr>
                <w:rFonts w:ascii="Verdana" w:hAnsi="Verdana"/>
                <w:sz w:val="20"/>
                <w:szCs w:val="20"/>
                <w:highlight w:val="yellow"/>
              </w:rPr>
            </w:pPr>
          </w:p>
          <w:p w:rsidR="009109AF" w:rsidRDefault="00A81738" w:rsidP="00EB3AF9">
            <w:pPr>
              <w:jc w:val="both"/>
              <w:rPr>
                <w:rFonts w:ascii="Verdana" w:hAnsi="Verdana" w:cs="Arial"/>
                <w:sz w:val="20"/>
                <w:szCs w:val="20"/>
                <w:lang w:val="es-CO"/>
              </w:rPr>
            </w:pPr>
            <w:r w:rsidRPr="00DF4C03">
              <w:rPr>
                <w:rFonts w:ascii="Verdana" w:hAnsi="Verdana"/>
                <w:sz w:val="20"/>
                <w:szCs w:val="20"/>
              </w:rPr>
              <w:t xml:space="preserve">Se han obligado </w:t>
            </w:r>
            <w:r w:rsidR="009046B0">
              <w:rPr>
                <w:rFonts w:ascii="Verdana" w:hAnsi="Verdana"/>
                <w:sz w:val="20"/>
                <w:szCs w:val="20"/>
              </w:rPr>
              <w:t>13.219,8</w:t>
            </w:r>
            <w:r w:rsidR="008B1B31" w:rsidRPr="008D7A3E">
              <w:rPr>
                <w:rFonts w:ascii="Verdana" w:hAnsi="Verdana"/>
                <w:sz w:val="20"/>
                <w:szCs w:val="20"/>
              </w:rPr>
              <w:t xml:space="preserve"> </w:t>
            </w:r>
            <w:r w:rsidR="007A6E7B" w:rsidRPr="00DF4C03">
              <w:rPr>
                <w:rFonts w:ascii="Verdana" w:hAnsi="Verdana"/>
                <w:sz w:val="20"/>
                <w:szCs w:val="20"/>
              </w:rPr>
              <w:t xml:space="preserve">millones equivalentes al </w:t>
            </w:r>
            <w:r w:rsidR="009046B0">
              <w:rPr>
                <w:rFonts w:ascii="Verdana" w:hAnsi="Verdana"/>
                <w:sz w:val="20"/>
                <w:szCs w:val="20"/>
              </w:rPr>
              <w:t>46,52</w:t>
            </w:r>
            <w:r w:rsidRPr="00DF4C03">
              <w:rPr>
                <w:rFonts w:ascii="Verdana" w:hAnsi="Verdana"/>
                <w:sz w:val="20"/>
                <w:szCs w:val="20"/>
              </w:rPr>
              <w:t>% del presupuesto de func</w:t>
            </w:r>
            <w:r w:rsidR="007A6E7B" w:rsidRPr="00DF4C03">
              <w:rPr>
                <w:rFonts w:ascii="Verdana" w:hAnsi="Verdana"/>
                <w:sz w:val="20"/>
                <w:szCs w:val="20"/>
              </w:rPr>
              <w:t xml:space="preserve">ionamiento, de una meta del </w:t>
            </w:r>
            <w:r w:rsidR="009046B0">
              <w:rPr>
                <w:rFonts w:ascii="Verdana" w:hAnsi="Verdana"/>
                <w:sz w:val="20"/>
                <w:szCs w:val="20"/>
              </w:rPr>
              <w:t>42,42</w:t>
            </w:r>
            <w:r w:rsidR="00DF4C03" w:rsidRPr="00DF4C03">
              <w:rPr>
                <w:rFonts w:ascii="Verdana" w:hAnsi="Verdana"/>
                <w:sz w:val="20"/>
                <w:szCs w:val="20"/>
              </w:rPr>
              <w:t>%, generando</w:t>
            </w:r>
            <w:r w:rsidR="008C5467" w:rsidRPr="00DF4C03">
              <w:rPr>
                <w:rFonts w:ascii="Verdana" w:hAnsi="Verdana"/>
                <w:sz w:val="20"/>
                <w:szCs w:val="20"/>
              </w:rPr>
              <w:t xml:space="preserve"> un </w:t>
            </w:r>
            <w:r w:rsidR="0073363A">
              <w:rPr>
                <w:rFonts w:ascii="Verdana" w:hAnsi="Verdana"/>
                <w:sz w:val="20"/>
                <w:szCs w:val="20"/>
              </w:rPr>
              <w:t xml:space="preserve">superávit </w:t>
            </w:r>
            <w:r w:rsidR="008C5467" w:rsidRPr="00DF4C03">
              <w:rPr>
                <w:rFonts w:ascii="Verdana" w:hAnsi="Verdana"/>
                <w:sz w:val="20"/>
                <w:szCs w:val="20"/>
              </w:rPr>
              <w:t xml:space="preserve">de </w:t>
            </w:r>
            <w:r w:rsidR="009046B0">
              <w:rPr>
                <w:rFonts w:ascii="Verdana" w:hAnsi="Verdana"/>
                <w:sz w:val="20"/>
                <w:szCs w:val="20"/>
              </w:rPr>
              <w:t>1.164,7</w:t>
            </w:r>
            <w:r w:rsidR="0069630A" w:rsidRPr="00DF4C03">
              <w:rPr>
                <w:rFonts w:ascii="Verdana" w:hAnsi="Verdana"/>
                <w:sz w:val="20"/>
                <w:szCs w:val="20"/>
              </w:rPr>
              <w:t xml:space="preserve"> </w:t>
            </w:r>
            <w:r w:rsidRPr="00DF4C03">
              <w:rPr>
                <w:rFonts w:ascii="Verdana" w:hAnsi="Verdana"/>
                <w:sz w:val="20"/>
                <w:szCs w:val="20"/>
              </w:rPr>
              <w:t>millones</w:t>
            </w:r>
            <w:r w:rsidR="00DF4C03" w:rsidRPr="00DF4C03">
              <w:rPr>
                <w:rFonts w:ascii="Verdana" w:hAnsi="Verdana"/>
                <w:sz w:val="20"/>
                <w:szCs w:val="20"/>
              </w:rPr>
              <w:t>,</w:t>
            </w:r>
            <w:r w:rsidRPr="00DF4C03">
              <w:rPr>
                <w:rFonts w:ascii="Verdana" w:hAnsi="Verdana"/>
                <w:sz w:val="20"/>
                <w:szCs w:val="20"/>
              </w:rPr>
              <w:t xml:space="preserve"> </w:t>
            </w:r>
            <w:r w:rsidR="0069630A" w:rsidRPr="00DF4C03">
              <w:rPr>
                <w:rFonts w:ascii="Verdana" w:hAnsi="Verdana"/>
                <w:sz w:val="20"/>
                <w:szCs w:val="20"/>
              </w:rPr>
              <w:t>explicado</w:t>
            </w:r>
            <w:r w:rsidR="009046B0">
              <w:rPr>
                <w:rFonts w:ascii="Verdana" w:hAnsi="Verdana"/>
                <w:sz w:val="20"/>
                <w:szCs w:val="20"/>
              </w:rPr>
              <w:t xml:space="preserve"> así:</w:t>
            </w:r>
            <w:r w:rsidR="0069630A" w:rsidRPr="00DF4C03">
              <w:rPr>
                <w:rFonts w:ascii="Verdana" w:hAnsi="Verdana"/>
                <w:sz w:val="20"/>
                <w:szCs w:val="20"/>
              </w:rPr>
              <w:t xml:space="preserve"> </w:t>
            </w:r>
            <w:r w:rsidR="009046B0" w:rsidRPr="00C55089">
              <w:rPr>
                <w:rFonts w:ascii="Verdana" w:hAnsi="Verdana" w:cs="Arial"/>
                <w:sz w:val="20"/>
                <w:szCs w:val="20"/>
                <w:lang w:val="es-CO"/>
              </w:rPr>
              <w:t xml:space="preserve">1) Superávit  en la ejecución de gastos de personal por </w:t>
            </w:r>
            <w:r w:rsidR="009046B0">
              <w:rPr>
                <w:rFonts w:ascii="Verdana" w:hAnsi="Verdana" w:cs="Arial"/>
                <w:sz w:val="20"/>
                <w:szCs w:val="20"/>
                <w:lang w:val="es-CO"/>
              </w:rPr>
              <w:t>104,2</w:t>
            </w:r>
            <w:r w:rsidR="009046B0" w:rsidRPr="00C55089">
              <w:rPr>
                <w:rFonts w:ascii="Verdana" w:hAnsi="Verdana" w:cs="Arial"/>
                <w:sz w:val="20"/>
                <w:szCs w:val="20"/>
                <w:lang w:val="es-CO"/>
              </w:rPr>
              <w:t xml:space="preserve"> millones, se cumplió la meta.2) Superávit en la ejecución de adquisición de bienes y servicios por </w:t>
            </w:r>
            <w:r w:rsidR="009046B0">
              <w:rPr>
                <w:rFonts w:ascii="Verdana" w:hAnsi="Verdana" w:cs="Arial"/>
                <w:sz w:val="20"/>
                <w:szCs w:val="20"/>
                <w:lang w:val="es-CO"/>
              </w:rPr>
              <w:t>7,9 millones</w:t>
            </w:r>
            <w:r w:rsidR="009046B0" w:rsidRPr="00C55089">
              <w:rPr>
                <w:rFonts w:ascii="Verdana" w:hAnsi="Verdana" w:cs="Arial"/>
                <w:sz w:val="20"/>
                <w:szCs w:val="20"/>
                <w:lang w:val="es-CO"/>
              </w:rPr>
              <w:t xml:space="preserve">, se cumplió la meta;3) </w:t>
            </w:r>
            <w:r w:rsidR="009046B0">
              <w:rPr>
                <w:rFonts w:ascii="Verdana" w:hAnsi="Verdana" w:cs="Arial"/>
                <w:sz w:val="20"/>
                <w:szCs w:val="20"/>
                <w:lang w:val="es-CO"/>
              </w:rPr>
              <w:t>E</w:t>
            </w:r>
            <w:r w:rsidR="009046B0" w:rsidRPr="00C55089">
              <w:rPr>
                <w:rFonts w:ascii="Verdana" w:hAnsi="Verdana" w:cs="Arial"/>
                <w:sz w:val="20"/>
                <w:szCs w:val="20"/>
                <w:lang w:val="es-CO"/>
              </w:rPr>
              <w:t>n la ejecución de transferencia</w:t>
            </w:r>
            <w:r w:rsidR="009046B0">
              <w:rPr>
                <w:rFonts w:ascii="Verdana" w:hAnsi="Verdana" w:cs="Arial"/>
                <w:sz w:val="20"/>
                <w:szCs w:val="20"/>
                <w:lang w:val="es-CO"/>
              </w:rPr>
              <w:t xml:space="preserve">s </w:t>
            </w:r>
            <w:r w:rsidR="009046B0" w:rsidRPr="00C55089">
              <w:rPr>
                <w:rFonts w:ascii="Verdana" w:hAnsi="Verdana" w:cs="Arial"/>
                <w:sz w:val="20"/>
                <w:szCs w:val="20"/>
                <w:lang w:val="es-CO"/>
              </w:rPr>
              <w:t>corrientes</w:t>
            </w:r>
            <w:r w:rsidR="009046B0">
              <w:rPr>
                <w:rFonts w:ascii="Verdana" w:hAnsi="Verdana" w:cs="Arial"/>
                <w:sz w:val="20"/>
                <w:szCs w:val="20"/>
                <w:lang w:val="es-CO"/>
              </w:rPr>
              <w:t xml:space="preserve"> se presentó un superávit por 1.059,1 millones  </w:t>
            </w:r>
            <w:r w:rsidR="009046B0" w:rsidRPr="00C55089">
              <w:rPr>
                <w:rFonts w:ascii="Verdana" w:hAnsi="Verdana" w:cs="Arial"/>
                <w:sz w:val="20"/>
                <w:szCs w:val="20"/>
                <w:lang w:val="es-CO"/>
              </w:rPr>
              <w:t xml:space="preserve"> en FOCAI, se cumplió la meta</w:t>
            </w:r>
            <w:r w:rsidR="009046B0">
              <w:rPr>
                <w:rFonts w:ascii="Verdana" w:hAnsi="Verdana" w:cs="Arial"/>
                <w:sz w:val="20"/>
                <w:szCs w:val="20"/>
                <w:lang w:val="es-CO"/>
              </w:rPr>
              <w:t>,</w:t>
            </w:r>
            <w:r w:rsidR="009046B0" w:rsidRPr="00C55089">
              <w:rPr>
                <w:rFonts w:ascii="Verdana" w:hAnsi="Verdana" w:cs="Arial"/>
                <w:sz w:val="20"/>
                <w:szCs w:val="20"/>
                <w:lang w:val="es-CO"/>
              </w:rPr>
              <w:t xml:space="preserve"> pero </w:t>
            </w:r>
            <w:r w:rsidR="009046B0">
              <w:rPr>
                <w:rFonts w:ascii="Verdana" w:hAnsi="Verdana" w:cs="Arial"/>
                <w:sz w:val="20"/>
                <w:szCs w:val="20"/>
                <w:lang w:val="es-CO"/>
              </w:rPr>
              <w:t xml:space="preserve">se </w:t>
            </w:r>
            <w:r w:rsidR="009046B0" w:rsidRPr="00C55089">
              <w:rPr>
                <w:rFonts w:ascii="Verdana" w:hAnsi="Verdana" w:cs="Arial"/>
                <w:sz w:val="20"/>
                <w:szCs w:val="20"/>
                <w:lang w:val="es-CO"/>
              </w:rPr>
              <w:t>presenta u</w:t>
            </w:r>
            <w:r w:rsidR="009046B0">
              <w:rPr>
                <w:rFonts w:ascii="Verdana" w:hAnsi="Verdana" w:cs="Arial"/>
                <w:sz w:val="20"/>
                <w:szCs w:val="20"/>
                <w:lang w:val="es-CO"/>
              </w:rPr>
              <w:t>n déficit en incapacidades de 6,6 millones</w:t>
            </w:r>
            <w:r w:rsidR="009046B0" w:rsidRPr="00C55089">
              <w:rPr>
                <w:rFonts w:ascii="Verdana" w:hAnsi="Verdana" w:cs="Arial"/>
                <w:sz w:val="20"/>
                <w:szCs w:val="20"/>
                <w:lang w:val="es-CO"/>
              </w:rPr>
              <w:t xml:space="preserve">, debido que este rubro  se afecta cuando  hay novedades de incapacidades radicadas en talento humano. </w:t>
            </w:r>
          </w:p>
          <w:p w:rsidR="009046B0" w:rsidRDefault="009046B0" w:rsidP="00EB3AF9">
            <w:pPr>
              <w:jc w:val="both"/>
              <w:rPr>
                <w:rFonts w:ascii="Verdana" w:hAnsi="Verdana" w:cs="Arial"/>
                <w:sz w:val="20"/>
                <w:szCs w:val="20"/>
                <w:lang w:val="es-CO"/>
              </w:rPr>
            </w:pPr>
          </w:p>
          <w:p w:rsidR="009046B0" w:rsidRDefault="009046B0" w:rsidP="009046B0">
            <w:pPr>
              <w:jc w:val="both"/>
              <w:rPr>
                <w:rFonts w:ascii="Verdana" w:hAnsi="Verdana" w:cs="Arial"/>
                <w:sz w:val="20"/>
                <w:szCs w:val="20"/>
              </w:rPr>
            </w:pPr>
            <w:r w:rsidRPr="007C68D7">
              <w:rPr>
                <w:rFonts w:ascii="Verdana" w:hAnsi="Verdana" w:cs="Arial"/>
                <w:sz w:val="20"/>
                <w:szCs w:val="20"/>
              </w:rPr>
              <w:lastRenderedPageBreak/>
              <w:t>La ejecución en funcionamiento se distribuyó así:</w:t>
            </w:r>
          </w:p>
          <w:p w:rsidR="009046B0" w:rsidRPr="007C68D7" w:rsidRDefault="009046B0" w:rsidP="009046B0">
            <w:pPr>
              <w:jc w:val="both"/>
              <w:rPr>
                <w:rFonts w:ascii="Verdana" w:hAnsi="Verdana" w:cs="Arial"/>
                <w:sz w:val="20"/>
                <w:szCs w:val="20"/>
              </w:rPr>
            </w:pPr>
          </w:p>
          <w:p w:rsidR="009046B0" w:rsidRPr="007C68D7" w:rsidRDefault="009046B0" w:rsidP="009046B0">
            <w:pPr>
              <w:jc w:val="both"/>
              <w:rPr>
                <w:rFonts w:ascii="Verdana" w:hAnsi="Verdana" w:cs="Arial"/>
                <w:sz w:val="20"/>
                <w:szCs w:val="20"/>
              </w:rPr>
            </w:pPr>
            <w:r w:rsidRPr="007C68D7">
              <w:rPr>
                <w:rFonts w:ascii="Verdana" w:hAnsi="Verdana" w:cs="Arial"/>
                <w:sz w:val="20"/>
                <w:szCs w:val="20"/>
              </w:rPr>
              <w:t xml:space="preserve">1) Gastos de personal con el </w:t>
            </w:r>
            <w:r>
              <w:rPr>
                <w:rFonts w:ascii="Verdana" w:hAnsi="Verdana" w:cs="Arial"/>
                <w:sz w:val="20"/>
                <w:szCs w:val="20"/>
              </w:rPr>
              <w:t>44,89</w:t>
            </w:r>
            <w:r w:rsidRPr="007C68D7">
              <w:rPr>
                <w:rFonts w:ascii="Verdana" w:hAnsi="Verdana" w:cs="Arial"/>
                <w:sz w:val="20"/>
                <w:szCs w:val="20"/>
              </w:rPr>
              <w:t>%.</w:t>
            </w:r>
          </w:p>
          <w:p w:rsidR="009046B0" w:rsidRPr="007C68D7" w:rsidRDefault="009046B0" w:rsidP="009046B0">
            <w:pPr>
              <w:jc w:val="both"/>
              <w:rPr>
                <w:rFonts w:ascii="Verdana" w:hAnsi="Verdana" w:cs="Arial"/>
                <w:sz w:val="20"/>
                <w:szCs w:val="20"/>
              </w:rPr>
            </w:pPr>
            <w:r w:rsidRPr="007C68D7">
              <w:rPr>
                <w:rFonts w:ascii="Verdana" w:hAnsi="Verdana" w:cs="Arial"/>
                <w:sz w:val="20"/>
                <w:szCs w:val="20"/>
              </w:rPr>
              <w:t xml:space="preserve">2) Gastos por adquisición de bienes y servicios con el </w:t>
            </w:r>
            <w:r>
              <w:rPr>
                <w:rFonts w:ascii="Verdana" w:hAnsi="Verdana" w:cs="Arial"/>
                <w:sz w:val="20"/>
                <w:szCs w:val="20"/>
              </w:rPr>
              <w:t>18,31</w:t>
            </w:r>
            <w:r w:rsidRPr="007C68D7">
              <w:rPr>
                <w:rFonts w:ascii="Verdana" w:hAnsi="Verdana" w:cs="Arial"/>
                <w:sz w:val="20"/>
                <w:szCs w:val="20"/>
              </w:rPr>
              <w:t>%.</w:t>
            </w:r>
          </w:p>
          <w:p w:rsidR="009046B0" w:rsidRDefault="009046B0" w:rsidP="009046B0">
            <w:pPr>
              <w:jc w:val="both"/>
              <w:rPr>
                <w:rFonts w:ascii="Verdana" w:hAnsi="Verdana" w:cs="Arial"/>
                <w:sz w:val="20"/>
                <w:szCs w:val="20"/>
              </w:rPr>
            </w:pPr>
            <w:r w:rsidRPr="007C68D7">
              <w:rPr>
                <w:rFonts w:ascii="Verdana" w:hAnsi="Verdana" w:cs="Arial"/>
                <w:sz w:val="20"/>
                <w:szCs w:val="20"/>
              </w:rPr>
              <w:t xml:space="preserve">3) </w:t>
            </w:r>
            <w:r>
              <w:rPr>
                <w:rFonts w:ascii="Verdana" w:hAnsi="Verdana" w:cs="Arial"/>
                <w:sz w:val="20"/>
                <w:szCs w:val="20"/>
              </w:rPr>
              <w:t xml:space="preserve">Gastos </w:t>
            </w:r>
            <w:r w:rsidRPr="00882814">
              <w:rPr>
                <w:rFonts w:ascii="Verdana" w:hAnsi="Verdana" w:cs="Arial"/>
                <w:sz w:val="20"/>
                <w:szCs w:val="20"/>
              </w:rPr>
              <w:t xml:space="preserve">de transferencias corrientes representan el </w:t>
            </w:r>
            <w:r>
              <w:rPr>
                <w:rFonts w:ascii="Verdana" w:hAnsi="Verdana" w:cs="Arial"/>
                <w:sz w:val="20"/>
                <w:szCs w:val="20"/>
              </w:rPr>
              <w:t>36,81</w:t>
            </w:r>
            <w:r w:rsidRPr="00882814">
              <w:rPr>
                <w:rFonts w:ascii="Verdana" w:hAnsi="Verdana" w:cs="Arial"/>
                <w:sz w:val="20"/>
                <w:szCs w:val="20"/>
              </w:rPr>
              <w:t>%, el 36</w:t>
            </w:r>
            <w:r>
              <w:rPr>
                <w:rFonts w:ascii="Verdana" w:hAnsi="Verdana" w:cs="Arial"/>
                <w:sz w:val="20"/>
                <w:szCs w:val="20"/>
              </w:rPr>
              <w:t>,63</w:t>
            </w:r>
            <w:r w:rsidRPr="00882814">
              <w:rPr>
                <w:rFonts w:ascii="Verdana" w:hAnsi="Verdana" w:cs="Arial"/>
                <w:sz w:val="20"/>
                <w:szCs w:val="20"/>
              </w:rPr>
              <w:t xml:space="preserve">% correspondientes a gastos del Fondo de Cooperación y Asistencia Internacional – FOCAI Y el </w:t>
            </w:r>
            <w:r>
              <w:rPr>
                <w:rFonts w:ascii="Verdana" w:hAnsi="Verdana" w:cs="Arial"/>
                <w:sz w:val="20"/>
                <w:szCs w:val="20"/>
              </w:rPr>
              <w:t>0,17</w:t>
            </w:r>
            <w:r w:rsidRPr="00882814">
              <w:rPr>
                <w:rFonts w:ascii="Verdana" w:hAnsi="Verdana" w:cs="Arial"/>
                <w:sz w:val="20"/>
                <w:szCs w:val="20"/>
              </w:rPr>
              <w:t>% a Incapaci</w:t>
            </w:r>
            <w:r>
              <w:rPr>
                <w:rFonts w:ascii="Verdana" w:hAnsi="Verdana" w:cs="Arial"/>
                <w:sz w:val="20"/>
                <w:szCs w:val="20"/>
              </w:rPr>
              <w:t>dades y Licencias de maternidad y paternidad.</w:t>
            </w: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EB3AF9" w:rsidRDefault="00EB3AF9" w:rsidP="00EB3AF9">
            <w:pPr>
              <w:jc w:val="both"/>
              <w:rPr>
                <w:rFonts w:ascii="Verdana" w:hAnsi="Verdana" w:cs="Arial"/>
                <w:sz w:val="20"/>
                <w:szCs w:val="20"/>
                <w:lang w:val="es-CO"/>
              </w:rPr>
            </w:pPr>
          </w:p>
          <w:p w:rsidR="008D7A3E" w:rsidRPr="003A4A1F" w:rsidRDefault="008D7A3E" w:rsidP="00EB3AF9">
            <w:pPr>
              <w:jc w:val="both"/>
              <w:rPr>
                <w:rFonts w:ascii="Verdana" w:hAnsi="Verdana"/>
                <w:sz w:val="20"/>
                <w:szCs w:val="20"/>
                <w:highlight w:val="yellow"/>
              </w:rPr>
            </w:pPr>
          </w:p>
        </w:tc>
      </w:tr>
    </w:tbl>
    <w:p w:rsidR="00873972" w:rsidRDefault="003C58A7" w:rsidP="003C58A7">
      <w:pPr>
        <w:tabs>
          <w:tab w:val="left" w:pos="1110"/>
        </w:tabs>
        <w:rPr>
          <w:rFonts w:ascii="Verdana" w:hAnsi="Verdana"/>
          <w:sz w:val="20"/>
          <w:szCs w:val="20"/>
        </w:rPr>
      </w:pPr>
      <w:r w:rsidRPr="00DF4C03">
        <w:rPr>
          <w:rFonts w:ascii="Verdana" w:hAnsi="Verdana"/>
          <w:sz w:val="20"/>
          <w:szCs w:val="20"/>
        </w:rPr>
        <w:lastRenderedPageBreak/>
        <w:tab/>
      </w:r>
    </w:p>
    <w:p w:rsidR="007E4852" w:rsidRPr="00DF4C03" w:rsidRDefault="007E4852" w:rsidP="003C58A7">
      <w:pPr>
        <w:tabs>
          <w:tab w:val="left" w:pos="1110"/>
        </w:tabs>
        <w:rPr>
          <w:rFonts w:ascii="Verdana" w:hAnsi="Verdana"/>
          <w:sz w:val="20"/>
          <w:szCs w:val="20"/>
        </w:rPr>
      </w:pPr>
    </w:p>
    <w:p w:rsidR="00873972" w:rsidRDefault="00873972" w:rsidP="00B41CB3">
      <w:pPr>
        <w:rPr>
          <w:rFonts w:ascii="Verdana" w:hAnsi="Verdana"/>
          <w:b/>
          <w:sz w:val="22"/>
          <w:szCs w:val="20"/>
        </w:rPr>
      </w:pPr>
      <w:r w:rsidRPr="00334403">
        <w:rPr>
          <w:rFonts w:ascii="Verdana" w:hAnsi="Verdana"/>
          <w:b/>
          <w:sz w:val="22"/>
          <w:szCs w:val="20"/>
        </w:rPr>
        <w:t>Gastos de Personal</w:t>
      </w:r>
    </w:p>
    <w:p w:rsidR="002C60A3" w:rsidRPr="00DF4C03" w:rsidRDefault="002C60A3" w:rsidP="00B41CB3">
      <w:pP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3A4A1F" w:rsidTr="00273008">
        <w:tc>
          <w:tcPr>
            <w:tcW w:w="6638" w:type="dxa"/>
            <w:shd w:val="clear" w:color="auto" w:fill="auto"/>
          </w:tcPr>
          <w:p w:rsidR="003F2322" w:rsidRPr="00DF4C03" w:rsidRDefault="003F2322" w:rsidP="00B41CB3">
            <w:pPr>
              <w:jc w:val="center"/>
              <w:rPr>
                <w:rFonts w:ascii="Verdana" w:hAnsi="Verdana"/>
                <w:b/>
                <w:sz w:val="22"/>
                <w:szCs w:val="20"/>
              </w:rPr>
            </w:pPr>
            <w:r w:rsidRPr="00DF4C03">
              <w:rPr>
                <w:rFonts w:ascii="Verdana" w:hAnsi="Verdana"/>
                <w:b/>
                <w:sz w:val="22"/>
                <w:szCs w:val="20"/>
              </w:rPr>
              <w:t>Compromisos</w:t>
            </w:r>
          </w:p>
        </w:tc>
        <w:tc>
          <w:tcPr>
            <w:tcW w:w="6640" w:type="dxa"/>
            <w:shd w:val="clear" w:color="auto" w:fill="auto"/>
          </w:tcPr>
          <w:p w:rsidR="003F2322" w:rsidRPr="00DF4C03" w:rsidRDefault="003F2322" w:rsidP="00B41CB3">
            <w:pPr>
              <w:jc w:val="center"/>
              <w:rPr>
                <w:rFonts w:ascii="Verdana" w:hAnsi="Verdana"/>
                <w:b/>
                <w:sz w:val="22"/>
                <w:szCs w:val="20"/>
              </w:rPr>
            </w:pPr>
            <w:r w:rsidRPr="00DC1A81">
              <w:rPr>
                <w:rFonts w:ascii="Verdana" w:hAnsi="Verdana"/>
                <w:b/>
                <w:sz w:val="22"/>
                <w:szCs w:val="20"/>
              </w:rPr>
              <w:t>Obligaciones</w:t>
            </w:r>
          </w:p>
        </w:tc>
      </w:tr>
      <w:tr w:rsidR="00873972" w:rsidRPr="003A4A1F" w:rsidTr="00273008">
        <w:tc>
          <w:tcPr>
            <w:tcW w:w="6638" w:type="dxa"/>
            <w:shd w:val="clear" w:color="auto" w:fill="auto"/>
            <w:vAlign w:val="center"/>
          </w:tcPr>
          <w:p w:rsidR="00A81738" w:rsidRPr="008A2AC9" w:rsidRDefault="00A81738" w:rsidP="00A81738">
            <w:pPr>
              <w:jc w:val="both"/>
              <w:rPr>
                <w:rFonts w:ascii="Verdana" w:eastAsia="Times New Roman" w:hAnsi="Verdana" w:cs="Times New Roman"/>
                <w:sz w:val="20"/>
                <w:szCs w:val="20"/>
              </w:rPr>
            </w:pPr>
            <w:r w:rsidRPr="008A2AC9">
              <w:rPr>
                <w:rFonts w:ascii="Verdana" w:eastAsia="Times New Roman" w:hAnsi="Verdana" w:cs="Times New Roman"/>
                <w:b/>
                <w:sz w:val="20"/>
                <w:szCs w:val="20"/>
              </w:rPr>
              <w:t>Indicador:</w:t>
            </w:r>
            <w:r w:rsidRPr="008A2AC9">
              <w:rPr>
                <w:rFonts w:ascii="Verdana" w:eastAsia="Times New Roman" w:hAnsi="Verdana" w:cs="Times New Roman"/>
                <w:sz w:val="20"/>
                <w:szCs w:val="20"/>
              </w:rPr>
              <w:t xml:space="preserve"> Ejecución Compromisos / Apropiación Vigente.</w:t>
            </w:r>
          </w:p>
          <w:p w:rsidR="00A81738" w:rsidRPr="008A2AC9" w:rsidRDefault="00A81738" w:rsidP="00A81738">
            <w:pPr>
              <w:jc w:val="both"/>
              <w:rPr>
                <w:rFonts w:ascii="Verdana" w:eastAsia="Times New Roman" w:hAnsi="Verdana" w:cs="Times New Roman"/>
                <w:sz w:val="20"/>
                <w:szCs w:val="20"/>
              </w:rPr>
            </w:pPr>
            <w:r w:rsidRPr="008A2AC9">
              <w:rPr>
                <w:rFonts w:ascii="Verdana" w:eastAsia="Times New Roman" w:hAnsi="Verdana" w:cs="Times New Roman"/>
                <w:b/>
                <w:sz w:val="20"/>
                <w:szCs w:val="20"/>
              </w:rPr>
              <w:t>Indicador:</w:t>
            </w:r>
            <w:r w:rsidR="00B378AF" w:rsidRPr="008A2AC9">
              <w:rPr>
                <w:rFonts w:ascii="Verdana" w:eastAsia="Times New Roman" w:hAnsi="Verdana" w:cs="Times New Roman"/>
                <w:sz w:val="20"/>
                <w:szCs w:val="20"/>
              </w:rPr>
              <w:t xml:space="preserve"> </w:t>
            </w:r>
            <w:r w:rsidR="004D0FC7">
              <w:rPr>
                <w:rFonts w:ascii="Verdana" w:eastAsia="Times New Roman" w:hAnsi="Verdana" w:cs="Times New Roman"/>
                <w:sz w:val="20"/>
                <w:szCs w:val="20"/>
              </w:rPr>
              <w:t>5.</w:t>
            </w:r>
            <w:r w:rsidR="002C60A3">
              <w:rPr>
                <w:rFonts w:ascii="Verdana" w:eastAsia="Times New Roman" w:hAnsi="Verdana" w:cs="Times New Roman"/>
                <w:sz w:val="20"/>
                <w:szCs w:val="20"/>
              </w:rPr>
              <w:t>934</w:t>
            </w:r>
            <w:r w:rsidR="004D0FC7">
              <w:rPr>
                <w:rFonts w:ascii="Verdana" w:eastAsia="Times New Roman" w:hAnsi="Verdana" w:cs="Times New Roman"/>
                <w:sz w:val="20"/>
                <w:szCs w:val="20"/>
              </w:rPr>
              <w:t>,</w:t>
            </w:r>
            <w:r w:rsidR="002C60A3">
              <w:rPr>
                <w:rFonts w:ascii="Verdana" w:eastAsia="Times New Roman" w:hAnsi="Verdana" w:cs="Times New Roman"/>
                <w:sz w:val="20"/>
                <w:szCs w:val="20"/>
              </w:rPr>
              <w:t>0</w:t>
            </w:r>
            <w:r w:rsidR="00A07B48" w:rsidRPr="008A2AC9">
              <w:rPr>
                <w:rFonts w:ascii="Verdana" w:eastAsia="Times New Roman" w:hAnsi="Verdana" w:cs="Times New Roman"/>
                <w:sz w:val="20"/>
                <w:szCs w:val="20"/>
              </w:rPr>
              <w:t xml:space="preserve"> </w:t>
            </w:r>
            <w:r w:rsidR="009F7DB7" w:rsidRPr="008A2AC9">
              <w:rPr>
                <w:rFonts w:ascii="Verdana" w:eastAsia="Times New Roman" w:hAnsi="Verdana" w:cs="Times New Roman"/>
                <w:sz w:val="20"/>
                <w:szCs w:val="20"/>
              </w:rPr>
              <w:t xml:space="preserve">/ </w:t>
            </w:r>
            <w:r w:rsidR="00A07B48" w:rsidRPr="008A2AC9">
              <w:rPr>
                <w:rFonts w:ascii="Verdana" w:eastAsia="Times New Roman" w:hAnsi="Verdana" w:cs="Times New Roman"/>
                <w:sz w:val="20"/>
                <w:szCs w:val="20"/>
              </w:rPr>
              <w:t>9</w:t>
            </w:r>
            <w:r w:rsidR="003C51CF" w:rsidRPr="008A2AC9">
              <w:rPr>
                <w:rFonts w:ascii="Verdana" w:eastAsia="Times New Roman" w:hAnsi="Verdana" w:cs="Times New Roman"/>
                <w:sz w:val="20"/>
                <w:szCs w:val="20"/>
              </w:rPr>
              <w:t>.</w:t>
            </w:r>
            <w:r w:rsidR="00A07B48" w:rsidRPr="008A2AC9">
              <w:rPr>
                <w:rFonts w:ascii="Verdana" w:eastAsia="Times New Roman" w:hAnsi="Verdana" w:cs="Times New Roman"/>
                <w:sz w:val="20"/>
                <w:szCs w:val="20"/>
              </w:rPr>
              <w:t>548,0</w:t>
            </w:r>
            <w:r w:rsidR="009F7DB7" w:rsidRPr="008A2AC9">
              <w:rPr>
                <w:rFonts w:ascii="Verdana" w:eastAsia="Times New Roman" w:hAnsi="Verdana" w:cs="Times New Roman"/>
                <w:sz w:val="20"/>
                <w:szCs w:val="20"/>
              </w:rPr>
              <w:t xml:space="preserve"> = </w:t>
            </w:r>
            <w:r w:rsidR="002C60A3">
              <w:rPr>
                <w:rFonts w:ascii="Verdana" w:eastAsia="Times New Roman" w:hAnsi="Verdana" w:cs="Times New Roman"/>
                <w:sz w:val="20"/>
                <w:szCs w:val="20"/>
              </w:rPr>
              <w:t>62,15</w:t>
            </w:r>
            <w:r w:rsidRPr="008A2AC9">
              <w:rPr>
                <w:rFonts w:ascii="Verdana" w:eastAsia="Times New Roman" w:hAnsi="Verdana" w:cs="Times New Roman"/>
                <w:sz w:val="20"/>
                <w:szCs w:val="20"/>
              </w:rPr>
              <w:t>%.</w:t>
            </w:r>
          </w:p>
          <w:p w:rsidR="00A81738" w:rsidRPr="003A4A1F" w:rsidRDefault="00A81738" w:rsidP="00A81738">
            <w:pPr>
              <w:jc w:val="both"/>
              <w:rPr>
                <w:rFonts w:ascii="Verdana" w:eastAsia="Times New Roman" w:hAnsi="Verdana" w:cs="Times New Roman"/>
                <w:sz w:val="20"/>
                <w:szCs w:val="20"/>
                <w:highlight w:val="yellow"/>
              </w:rPr>
            </w:pPr>
          </w:p>
          <w:p w:rsidR="00C02F3C" w:rsidRDefault="00A81738" w:rsidP="00F420E8">
            <w:pPr>
              <w:jc w:val="both"/>
              <w:rPr>
                <w:rFonts w:ascii="Verdana" w:hAnsi="Verdana" w:cs="Arial"/>
                <w:sz w:val="20"/>
                <w:szCs w:val="20"/>
              </w:rPr>
            </w:pPr>
            <w:r w:rsidRPr="007E4852">
              <w:rPr>
                <w:rFonts w:ascii="Verdana" w:eastAsia="Times New Roman" w:hAnsi="Verdana" w:cs="Times New Roman"/>
                <w:sz w:val="20"/>
                <w:szCs w:val="20"/>
              </w:rPr>
              <w:t xml:space="preserve">El total de los compromisos de los gastos de personal alcanzó el </w:t>
            </w:r>
            <w:r w:rsidR="002C60A3">
              <w:rPr>
                <w:rFonts w:ascii="Verdana" w:eastAsia="Times New Roman" w:hAnsi="Verdana" w:cs="Times New Roman"/>
                <w:sz w:val="20"/>
                <w:szCs w:val="20"/>
              </w:rPr>
              <w:t>62,15</w:t>
            </w:r>
            <w:r w:rsidRPr="007E4852">
              <w:rPr>
                <w:rFonts w:ascii="Verdana" w:eastAsia="Times New Roman" w:hAnsi="Verdana" w:cs="Times New Roman"/>
                <w:sz w:val="20"/>
                <w:szCs w:val="20"/>
              </w:rPr>
              <w:t xml:space="preserve">% equivalente a </w:t>
            </w:r>
            <w:r w:rsidR="009219DA">
              <w:rPr>
                <w:rFonts w:ascii="Verdana" w:eastAsia="Times New Roman" w:hAnsi="Verdana" w:cs="Times New Roman"/>
                <w:sz w:val="20"/>
                <w:szCs w:val="20"/>
              </w:rPr>
              <w:t>5.</w:t>
            </w:r>
            <w:r w:rsidR="002C60A3">
              <w:rPr>
                <w:rFonts w:ascii="Verdana" w:eastAsia="Times New Roman" w:hAnsi="Verdana" w:cs="Times New Roman"/>
                <w:sz w:val="20"/>
                <w:szCs w:val="20"/>
              </w:rPr>
              <w:t>934</w:t>
            </w:r>
            <w:r w:rsidR="009219DA">
              <w:rPr>
                <w:rFonts w:ascii="Verdana" w:eastAsia="Times New Roman" w:hAnsi="Verdana" w:cs="Times New Roman"/>
                <w:sz w:val="20"/>
                <w:szCs w:val="20"/>
              </w:rPr>
              <w:t>,</w:t>
            </w:r>
            <w:r w:rsidR="002C60A3">
              <w:rPr>
                <w:rFonts w:ascii="Verdana" w:eastAsia="Times New Roman" w:hAnsi="Verdana" w:cs="Times New Roman"/>
                <w:sz w:val="20"/>
                <w:szCs w:val="20"/>
              </w:rPr>
              <w:t>0</w:t>
            </w:r>
            <w:r w:rsidRPr="007E4852">
              <w:rPr>
                <w:rFonts w:ascii="Verdana" w:eastAsia="Times New Roman" w:hAnsi="Verdana" w:cs="Times New Roman"/>
                <w:sz w:val="20"/>
                <w:szCs w:val="20"/>
              </w:rPr>
              <w:t xml:space="preserve"> millones de una apropiación vigente de 9.</w:t>
            </w:r>
            <w:r w:rsidR="00A07B48" w:rsidRPr="007E4852">
              <w:rPr>
                <w:rFonts w:ascii="Verdana" w:eastAsia="Times New Roman" w:hAnsi="Verdana" w:cs="Times New Roman"/>
                <w:sz w:val="20"/>
                <w:szCs w:val="20"/>
              </w:rPr>
              <w:t>548,0</w:t>
            </w:r>
            <w:r w:rsidRPr="007E4852">
              <w:rPr>
                <w:rFonts w:ascii="Verdana" w:eastAsia="Times New Roman" w:hAnsi="Verdana" w:cs="Times New Roman"/>
                <w:sz w:val="20"/>
                <w:szCs w:val="20"/>
              </w:rPr>
              <w:t xml:space="preserve"> millones, frente a una meta de ejecución del </w:t>
            </w:r>
            <w:r w:rsidR="002C60A3">
              <w:rPr>
                <w:rFonts w:ascii="Verdana" w:eastAsia="Times New Roman" w:hAnsi="Verdana" w:cs="Times New Roman"/>
                <w:sz w:val="20"/>
                <w:szCs w:val="20"/>
              </w:rPr>
              <w:t>61,38</w:t>
            </w:r>
            <w:r w:rsidR="00A07B48" w:rsidRPr="007E4852">
              <w:rPr>
                <w:rFonts w:ascii="Verdana" w:eastAsia="Times New Roman" w:hAnsi="Verdana" w:cs="Times New Roman"/>
                <w:sz w:val="20"/>
                <w:szCs w:val="20"/>
              </w:rPr>
              <w:t xml:space="preserve">%, </w:t>
            </w:r>
            <w:r w:rsidR="00841F3B">
              <w:rPr>
                <w:rFonts w:ascii="Verdana" w:eastAsia="Times New Roman" w:hAnsi="Verdana" w:cs="Times New Roman"/>
                <w:sz w:val="20"/>
                <w:szCs w:val="20"/>
              </w:rPr>
              <w:t xml:space="preserve">generándose </w:t>
            </w:r>
            <w:r w:rsidR="002C60A3">
              <w:rPr>
                <w:rFonts w:ascii="Verdana" w:hAnsi="Verdana" w:cs="Arial"/>
                <w:sz w:val="20"/>
                <w:szCs w:val="20"/>
              </w:rPr>
              <w:t>Superávit</w:t>
            </w:r>
            <w:r w:rsidR="002C60A3" w:rsidRPr="00902BE7">
              <w:rPr>
                <w:rFonts w:ascii="Verdana" w:hAnsi="Verdana" w:cs="Arial"/>
                <w:sz w:val="20"/>
                <w:szCs w:val="20"/>
              </w:rPr>
              <w:t xml:space="preserve"> en</w:t>
            </w:r>
            <w:r w:rsidR="00C02F3C" w:rsidRPr="00902BE7">
              <w:rPr>
                <w:rFonts w:ascii="Verdana" w:hAnsi="Verdana" w:cs="Arial"/>
                <w:sz w:val="20"/>
                <w:szCs w:val="20"/>
              </w:rPr>
              <w:t xml:space="preserve"> la ejecución de gastos de personal por </w:t>
            </w:r>
            <w:r w:rsidR="002C60A3">
              <w:rPr>
                <w:rFonts w:ascii="Verdana" w:hAnsi="Verdana" w:cs="Arial"/>
                <w:sz w:val="20"/>
                <w:szCs w:val="20"/>
              </w:rPr>
              <w:t>73,1</w:t>
            </w:r>
            <w:r w:rsidR="00C02F3C" w:rsidRPr="00902BE7">
              <w:rPr>
                <w:rFonts w:ascii="Verdana" w:hAnsi="Verdana" w:cs="Arial"/>
                <w:sz w:val="20"/>
                <w:szCs w:val="20"/>
              </w:rPr>
              <w:t xml:space="preserve"> millones</w:t>
            </w:r>
            <w:r w:rsidR="00C02F3C">
              <w:rPr>
                <w:rFonts w:ascii="Verdana" w:hAnsi="Verdana" w:cs="Arial"/>
                <w:sz w:val="20"/>
                <w:szCs w:val="20"/>
              </w:rPr>
              <w:t>,</w:t>
            </w:r>
            <w:r w:rsidR="00C02F3C" w:rsidRPr="0049603A">
              <w:rPr>
                <w:rFonts w:ascii="Verdana" w:hAnsi="Verdana" w:cs="Arial"/>
                <w:sz w:val="20"/>
                <w:szCs w:val="20"/>
              </w:rPr>
              <w:t xml:space="preserve"> se cumplió la meta</w:t>
            </w:r>
            <w:r w:rsidR="00C02F3C">
              <w:rPr>
                <w:rFonts w:ascii="Verdana" w:hAnsi="Verdana" w:cs="Arial"/>
                <w:sz w:val="20"/>
                <w:szCs w:val="20"/>
              </w:rPr>
              <w:t>.</w:t>
            </w:r>
          </w:p>
          <w:p w:rsidR="00C02F3C" w:rsidRDefault="00C02F3C" w:rsidP="00F420E8">
            <w:pPr>
              <w:jc w:val="both"/>
              <w:rPr>
                <w:rFonts w:ascii="Verdana" w:hAnsi="Verdana" w:cs="Arial"/>
                <w:sz w:val="20"/>
                <w:szCs w:val="20"/>
              </w:rPr>
            </w:pPr>
          </w:p>
          <w:p w:rsidR="00873972" w:rsidRPr="00507076" w:rsidRDefault="00A81738" w:rsidP="002C60A3">
            <w:pPr>
              <w:jc w:val="both"/>
              <w:rPr>
                <w:rFonts w:ascii="Verdana" w:eastAsia="Times New Roman" w:hAnsi="Verdana" w:cs="Times New Roman"/>
                <w:sz w:val="20"/>
                <w:szCs w:val="20"/>
              </w:rPr>
            </w:pPr>
            <w:r w:rsidRPr="00796820">
              <w:rPr>
                <w:rFonts w:ascii="Verdana" w:eastAsia="Times New Roman" w:hAnsi="Verdana" w:cs="Times New Roman"/>
                <w:sz w:val="20"/>
                <w:szCs w:val="20"/>
              </w:rPr>
              <w:t xml:space="preserve">De los compromisos de gastos de personal, el </w:t>
            </w:r>
            <w:r w:rsidR="002C60A3">
              <w:rPr>
                <w:rFonts w:ascii="Verdana" w:eastAsia="Times New Roman" w:hAnsi="Verdana" w:cs="Times New Roman"/>
                <w:sz w:val="20"/>
                <w:szCs w:val="20"/>
              </w:rPr>
              <w:t>66,54</w:t>
            </w:r>
            <w:r w:rsidRPr="00796820">
              <w:rPr>
                <w:rFonts w:ascii="Verdana" w:eastAsia="Times New Roman" w:hAnsi="Verdana" w:cs="Times New Roman"/>
                <w:sz w:val="20"/>
                <w:szCs w:val="20"/>
              </w:rPr>
              <w:t xml:space="preserve">% corresponde a gastos asociados </w:t>
            </w:r>
            <w:r w:rsidR="00A07B48" w:rsidRPr="00796820">
              <w:rPr>
                <w:rFonts w:ascii="Verdana" w:eastAsia="Times New Roman" w:hAnsi="Verdana" w:cs="Times New Roman"/>
                <w:sz w:val="20"/>
                <w:szCs w:val="20"/>
              </w:rPr>
              <w:t xml:space="preserve">al salario, el </w:t>
            </w:r>
            <w:r w:rsidR="002C60A3">
              <w:rPr>
                <w:rFonts w:ascii="Verdana" w:eastAsia="Times New Roman" w:hAnsi="Verdana" w:cs="Times New Roman"/>
                <w:sz w:val="20"/>
                <w:szCs w:val="20"/>
              </w:rPr>
              <w:t>23,57</w:t>
            </w:r>
            <w:r w:rsidR="00A07B48" w:rsidRPr="00796820">
              <w:rPr>
                <w:rFonts w:ascii="Verdana" w:eastAsia="Times New Roman" w:hAnsi="Verdana" w:cs="Times New Roman"/>
                <w:sz w:val="20"/>
                <w:szCs w:val="20"/>
              </w:rPr>
              <w:t xml:space="preserve">% a gastos por contribuciones inherentes a la nómina </w:t>
            </w:r>
            <w:r w:rsidR="006F19B4" w:rsidRPr="00796820">
              <w:rPr>
                <w:rFonts w:ascii="Verdana" w:eastAsia="Times New Roman" w:hAnsi="Verdana" w:cs="Times New Roman"/>
                <w:sz w:val="20"/>
                <w:szCs w:val="20"/>
              </w:rPr>
              <w:t xml:space="preserve">y el </w:t>
            </w:r>
            <w:r w:rsidR="00C02F3C">
              <w:rPr>
                <w:rFonts w:ascii="Verdana" w:eastAsia="Times New Roman" w:hAnsi="Verdana" w:cs="Times New Roman"/>
                <w:sz w:val="20"/>
                <w:szCs w:val="20"/>
              </w:rPr>
              <w:t>9,</w:t>
            </w:r>
            <w:r w:rsidR="002C60A3">
              <w:rPr>
                <w:rFonts w:ascii="Verdana" w:eastAsia="Times New Roman" w:hAnsi="Verdana" w:cs="Times New Roman"/>
                <w:sz w:val="20"/>
                <w:szCs w:val="20"/>
              </w:rPr>
              <w:t>89</w:t>
            </w:r>
            <w:r w:rsidRPr="00796820">
              <w:rPr>
                <w:rFonts w:ascii="Verdana" w:eastAsia="Times New Roman" w:hAnsi="Verdana" w:cs="Times New Roman"/>
                <w:sz w:val="20"/>
                <w:szCs w:val="20"/>
              </w:rPr>
              <w:t>% restante</w:t>
            </w:r>
            <w:r w:rsidR="00A07B48" w:rsidRPr="00796820">
              <w:rPr>
                <w:rFonts w:ascii="Verdana" w:eastAsia="Times New Roman" w:hAnsi="Verdana" w:cs="Times New Roman"/>
                <w:sz w:val="20"/>
                <w:szCs w:val="20"/>
              </w:rPr>
              <w:t>,</w:t>
            </w:r>
            <w:r w:rsidRPr="00796820">
              <w:rPr>
                <w:rFonts w:ascii="Verdana" w:eastAsia="Times New Roman" w:hAnsi="Verdana" w:cs="Times New Roman"/>
                <w:sz w:val="20"/>
                <w:szCs w:val="20"/>
              </w:rPr>
              <w:t xml:space="preserve"> </w:t>
            </w:r>
            <w:r w:rsidR="00A07B48" w:rsidRPr="00796820">
              <w:rPr>
                <w:rFonts w:ascii="Verdana" w:eastAsia="Times New Roman" w:hAnsi="Verdana" w:cs="Times New Roman"/>
                <w:sz w:val="20"/>
                <w:szCs w:val="20"/>
              </w:rPr>
              <w:lastRenderedPageBreak/>
              <w:t>corresponde</w:t>
            </w:r>
            <w:r w:rsidRPr="00796820">
              <w:rPr>
                <w:rFonts w:ascii="Verdana" w:eastAsia="Times New Roman" w:hAnsi="Verdana" w:cs="Times New Roman"/>
                <w:sz w:val="20"/>
                <w:szCs w:val="20"/>
              </w:rPr>
              <w:t xml:space="preserve"> a </w:t>
            </w:r>
            <w:r w:rsidR="00A07B48" w:rsidRPr="00796820">
              <w:rPr>
                <w:rFonts w:ascii="Verdana" w:eastAsia="Times New Roman" w:hAnsi="Verdana" w:cs="Times New Roman"/>
                <w:sz w:val="20"/>
                <w:szCs w:val="20"/>
              </w:rPr>
              <w:t>remuneraciones no constitutivas de factor salarial.</w:t>
            </w:r>
          </w:p>
        </w:tc>
        <w:tc>
          <w:tcPr>
            <w:tcW w:w="6640" w:type="dxa"/>
            <w:shd w:val="clear" w:color="auto" w:fill="auto"/>
            <w:vAlign w:val="center"/>
          </w:tcPr>
          <w:p w:rsidR="00A81738" w:rsidRPr="007E4852" w:rsidRDefault="00A81738" w:rsidP="00A81738">
            <w:pPr>
              <w:jc w:val="both"/>
              <w:rPr>
                <w:rFonts w:ascii="Verdana" w:eastAsia="Times New Roman" w:hAnsi="Verdana" w:cs="Times New Roman"/>
                <w:sz w:val="20"/>
                <w:szCs w:val="20"/>
              </w:rPr>
            </w:pPr>
            <w:r w:rsidRPr="007E4852">
              <w:rPr>
                <w:rFonts w:ascii="Verdana" w:eastAsia="Times New Roman" w:hAnsi="Verdana" w:cs="Times New Roman"/>
                <w:b/>
                <w:sz w:val="20"/>
                <w:szCs w:val="20"/>
              </w:rPr>
              <w:lastRenderedPageBreak/>
              <w:t>Indicador:</w:t>
            </w:r>
            <w:r w:rsidRPr="007E4852">
              <w:rPr>
                <w:rFonts w:ascii="Verdana" w:eastAsia="Times New Roman" w:hAnsi="Verdana" w:cs="Times New Roman"/>
                <w:sz w:val="20"/>
                <w:szCs w:val="20"/>
              </w:rPr>
              <w:t xml:space="preserve"> Ejecución Obligaciones / Apropiación Vigente.</w:t>
            </w:r>
          </w:p>
          <w:p w:rsidR="00A81738" w:rsidRPr="007E4852" w:rsidRDefault="006F19B4" w:rsidP="00A81738">
            <w:pPr>
              <w:jc w:val="both"/>
              <w:rPr>
                <w:rFonts w:ascii="Verdana" w:eastAsia="Times New Roman" w:hAnsi="Verdana" w:cs="Times New Roman"/>
                <w:sz w:val="20"/>
                <w:szCs w:val="20"/>
              </w:rPr>
            </w:pPr>
            <w:r w:rsidRPr="007E4852">
              <w:rPr>
                <w:rFonts w:ascii="Verdana" w:eastAsia="Times New Roman" w:hAnsi="Verdana" w:cs="Times New Roman"/>
                <w:b/>
                <w:sz w:val="20"/>
                <w:szCs w:val="20"/>
              </w:rPr>
              <w:t>Indicador</w:t>
            </w:r>
            <w:r w:rsidR="002E3D99" w:rsidRPr="007E4852">
              <w:rPr>
                <w:rFonts w:ascii="Verdana" w:eastAsia="Times New Roman" w:hAnsi="Verdana" w:cs="Times New Roman"/>
                <w:b/>
                <w:sz w:val="20"/>
                <w:szCs w:val="20"/>
              </w:rPr>
              <w:t>:</w:t>
            </w:r>
            <w:r w:rsidR="002E3D99" w:rsidRPr="007E4852">
              <w:rPr>
                <w:rFonts w:ascii="Verdana" w:eastAsia="Times New Roman" w:hAnsi="Verdana" w:cs="Times New Roman"/>
                <w:sz w:val="20"/>
                <w:szCs w:val="20"/>
              </w:rPr>
              <w:t xml:space="preserve"> </w:t>
            </w:r>
            <w:r w:rsidR="00F4688A">
              <w:rPr>
                <w:rFonts w:ascii="Verdana" w:eastAsia="Times New Roman" w:hAnsi="Verdana" w:cs="Times New Roman"/>
                <w:sz w:val="20"/>
                <w:szCs w:val="20"/>
              </w:rPr>
              <w:t>5.</w:t>
            </w:r>
            <w:r w:rsidR="00F52B47">
              <w:rPr>
                <w:rFonts w:ascii="Verdana" w:eastAsia="Times New Roman" w:hAnsi="Verdana" w:cs="Times New Roman"/>
                <w:sz w:val="20"/>
                <w:szCs w:val="20"/>
              </w:rPr>
              <w:t>934</w:t>
            </w:r>
            <w:r w:rsidR="00F4688A">
              <w:rPr>
                <w:rFonts w:ascii="Verdana" w:eastAsia="Times New Roman" w:hAnsi="Verdana" w:cs="Times New Roman"/>
                <w:sz w:val="20"/>
                <w:szCs w:val="20"/>
              </w:rPr>
              <w:t>,2</w:t>
            </w:r>
            <w:r w:rsidR="002E3D99" w:rsidRPr="008A2AC9">
              <w:rPr>
                <w:rFonts w:ascii="Verdana" w:eastAsia="Times New Roman" w:hAnsi="Verdana" w:cs="Times New Roman"/>
                <w:sz w:val="20"/>
                <w:szCs w:val="20"/>
              </w:rPr>
              <w:t xml:space="preserve"> / 9.548,0 = </w:t>
            </w:r>
            <w:r w:rsidR="00F52B47">
              <w:rPr>
                <w:rFonts w:ascii="Verdana" w:eastAsia="Times New Roman" w:hAnsi="Verdana" w:cs="Times New Roman"/>
                <w:sz w:val="20"/>
                <w:szCs w:val="20"/>
              </w:rPr>
              <w:t>62,15</w:t>
            </w:r>
            <w:r w:rsidR="002E3D99" w:rsidRPr="008A2AC9">
              <w:rPr>
                <w:rFonts w:ascii="Verdana" w:eastAsia="Times New Roman" w:hAnsi="Verdana" w:cs="Times New Roman"/>
                <w:sz w:val="20"/>
                <w:szCs w:val="20"/>
              </w:rPr>
              <w:t>%.</w:t>
            </w:r>
          </w:p>
          <w:p w:rsidR="003C51CF" w:rsidRPr="00FB7BC3" w:rsidRDefault="003C51CF" w:rsidP="00A81738">
            <w:pPr>
              <w:jc w:val="both"/>
              <w:rPr>
                <w:rFonts w:ascii="Verdana" w:eastAsia="Times New Roman" w:hAnsi="Verdana" w:cs="Times New Roman"/>
                <w:sz w:val="20"/>
                <w:szCs w:val="20"/>
              </w:rPr>
            </w:pPr>
          </w:p>
          <w:p w:rsidR="005D48DA" w:rsidRDefault="00A81738" w:rsidP="00E860E4">
            <w:pPr>
              <w:jc w:val="both"/>
              <w:rPr>
                <w:rFonts w:ascii="Verdana" w:hAnsi="Verdana" w:cs="Arial"/>
                <w:sz w:val="20"/>
                <w:szCs w:val="20"/>
                <w:lang w:val="es-CO"/>
              </w:rPr>
            </w:pPr>
            <w:r w:rsidRPr="00FB7BC3">
              <w:rPr>
                <w:rFonts w:ascii="Verdana" w:eastAsia="Times New Roman" w:hAnsi="Verdana" w:cs="Times New Roman"/>
                <w:sz w:val="20"/>
                <w:szCs w:val="20"/>
              </w:rPr>
              <w:t xml:space="preserve">Se </w:t>
            </w:r>
            <w:r w:rsidR="00B36B6E" w:rsidRPr="00FB7BC3">
              <w:rPr>
                <w:rFonts w:ascii="Verdana" w:eastAsia="Times New Roman" w:hAnsi="Verdana" w:cs="Times New Roman"/>
                <w:sz w:val="20"/>
                <w:szCs w:val="20"/>
              </w:rPr>
              <w:t>ejecutaron</w:t>
            </w:r>
            <w:r w:rsidRPr="00FB7BC3">
              <w:rPr>
                <w:rFonts w:ascii="Verdana" w:eastAsia="Times New Roman" w:hAnsi="Verdana" w:cs="Times New Roman"/>
                <w:sz w:val="20"/>
                <w:szCs w:val="20"/>
              </w:rPr>
              <w:t xml:space="preserve"> recursos por valor de </w:t>
            </w:r>
            <w:r w:rsidR="00F52B47">
              <w:rPr>
                <w:rFonts w:ascii="Verdana" w:eastAsia="Times New Roman" w:hAnsi="Verdana" w:cs="Times New Roman"/>
                <w:sz w:val="20"/>
                <w:szCs w:val="20"/>
              </w:rPr>
              <w:t>5.934,2</w:t>
            </w:r>
            <w:r w:rsidR="002E3D99" w:rsidRPr="008A2AC9">
              <w:rPr>
                <w:rFonts w:ascii="Verdana" w:eastAsia="Times New Roman" w:hAnsi="Verdana" w:cs="Times New Roman"/>
                <w:sz w:val="20"/>
                <w:szCs w:val="20"/>
              </w:rPr>
              <w:t xml:space="preserve"> </w:t>
            </w:r>
            <w:r w:rsidR="006F19B4" w:rsidRPr="00FB7BC3">
              <w:rPr>
                <w:rFonts w:ascii="Verdana" w:eastAsia="Times New Roman" w:hAnsi="Verdana" w:cs="Times New Roman"/>
                <w:sz w:val="20"/>
                <w:szCs w:val="20"/>
              </w:rPr>
              <w:t xml:space="preserve">millones equivalentes al </w:t>
            </w:r>
            <w:r w:rsidR="00F52B47">
              <w:rPr>
                <w:rFonts w:ascii="Verdana" w:eastAsia="Times New Roman" w:hAnsi="Verdana" w:cs="Times New Roman"/>
                <w:sz w:val="20"/>
                <w:szCs w:val="20"/>
              </w:rPr>
              <w:t>62,15</w:t>
            </w:r>
            <w:r w:rsidR="00204C8E">
              <w:rPr>
                <w:rFonts w:ascii="Verdana" w:eastAsia="Times New Roman" w:hAnsi="Verdana" w:cs="Times New Roman"/>
                <w:sz w:val="20"/>
                <w:szCs w:val="20"/>
              </w:rPr>
              <w:t xml:space="preserve"> </w:t>
            </w:r>
            <w:r w:rsidRPr="00FB7BC3">
              <w:rPr>
                <w:rFonts w:ascii="Verdana" w:eastAsia="Times New Roman" w:hAnsi="Verdana" w:cs="Times New Roman"/>
                <w:sz w:val="20"/>
                <w:szCs w:val="20"/>
              </w:rPr>
              <w:t xml:space="preserve">% de la </w:t>
            </w:r>
            <w:r w:rsidR="006F19B4" w:rsidRPr="00FB7BC3">
              <w:rPr>
                <w:rFonts w:ascii="Verdana" w:eastAsia="Times New Roman" w:hAnsi="Verdana" w:cs="Times New Roman"/>
                <w:sz w:val="20"/>
                <w:szCs w:val="20"/>
              </w:rPr>
              <w:t>apropiación</w:t>
            </w:r>
            <w:r w:rsidR="00FB7BC3" w:rsidRPr="00FB7BC3">
              <w:rPr>
                <w:rFonts w:ascii="Verdana" w:eastAsia="Times New Roman" w:hAnsi="Verdana" w:cs="Times New Roman"/>
                <w:sz w:val="20"/>
                <w:szCs w:val="20"/>
              </w:rPr>
              <w:t xml:space="preserve"> vigente</w:t>
            </w:r>
            <w:r w:rsidR="006F19B4" w:rsidRPr="00FB7BC3">
              <w:rPr>
                <w:rFonts w:ascii="Verdana" w:eastAsia="Times New Roman" w:hAnsi="Verdana" w:cs="Times New Roman"/>
                <w:sz w:val="20"/>
                <w:szCs w:val="20"/>
              </w:rPr>
              <w:t xml:space="preserve">, de una meta del </w:t>
            </w:r>
            <w:r w:rsidR="00F52B47">
              <w:rPr>
                <w:rFonts w:ascii="Verdana" w:eastAsia="Times New Roman" w:hAnsi="Verdana" w:cs="Times New Roman"/>
                <w:sz w:val="20"/>
                <w:szCs w:val="20"/>
              </w:rPr>
              <w:t>61,06</w:t>
            </w:r>
            <w:r w:rsidR="003C51CF" w:rsidRPr="00FB7BC3">
              <w:rPr>
                <w:rFonts w:ascii="Verdana" w:eastAsia="Times New Roman" w:hAnsi="Verdana" w:cs="Times New Roman"/>
                <w:sz w:val="20"/>
                <w:szCs w:val="20"/>
              </w:rPr>
              <w:t>%</w:t>
            </w:r>
            <w:r w:rsidRPr="00FB7BC3">
              <w:rPr>
                <w:rFonts w:ascii="Verdana" w:eastAsia="Times New Roman" w:hAnsi="Verdana" w:cs="Times New Roman"/>
                <w:sz w:val="20"/>
                <w:szCs w:val="20"/>
              </w:rPr>
              <w:t>,</w:t>
            </w:r>
            <w:r w:rsidR="003C51CF" w:rsidRPr="00FB7BC3">
              <w:rPr>
                <w:rFonts w:ascii="Verdana" w:eastAsia="Times New Roman" w:hAnsi="Verdana" w:cs="Times New Roman"/>
                <w:sz w:val="20"/>
                <w:szCs w:val="20"/>
              </w:rPr>
              <w:t xml:space="preserve"> </w:t>
            </w:r>
            <w:r w:rsidR="00F52B47" w:rsidRPr="00C55089">
              <w:rPr>
                <w:rFonts w:ascii="Verdana" w:hAnsi="Verdana" w:cs="Arial"/>
                <w:sz w:val="20"/>
                <w:szCs w:val="20"/>
                <w:lang w:val="es-CO"/>
              </w:rPr>
              <w:t>Superávit en</w:t>
            </w:r>
            <w:r w:rsidR="002360E0" w:rsidRPr="00C55089">
              <w:rPr>
                <w:rFonts w:ascii="Verdana" w:hAnsi="Verdana" w:cs="Arial"/>
                <w:sz w:val="20"/>
                <w:szCs w:val="20"/>
                <w:lang w:val="es-CO"/>
              </w:rPr>
              <w:t xml:space="preserve"> la ejecución de gastos de personal por </w:t>
            </w:r>
            <w:r w:rsidR="00F52B47">
              <w:rPr>
                <w:rFonts w:ascii="Verdana" w:hAnsi="Verdana" w:cs="Arial"/>
                <w:sz w:val="20"/>
                <w:szCs w:val="20"/>
                <w:lang w:val="es-CO"/>
              </w:rPr>
              <w:t>104,2</w:t>
            </w:r>
            <w:r w:rsidR="002360E0" w:rsidRPr="00C55089">
              <w:rPr>
                <w:rFonts w:ascii="Verdana" w:hAnsi="Verdana" w:cs="Arial"/>
                <w:sz w:val="20"/>
                <w:szCs w:val="20"/>
                <w:lang w:val="es-CO"/>
              </w:rPr>
              <w:t xml:space="preserve"> millones, se cumplió la meta.</w:t>
            </w:r>
          </w:p>
          <w:p w:rsidR="002360E0" w:rsidRDefault="002360E0" w:rsidP="00E860E4">
            <w:pPr>
              <w:jc w:val="both"/>
              <w:rPr>
                <w:rFonts w:ascii="Verdana" w:eastAsia="Times New Roman" w:hAnsi="Verdana" w:cs="Times New Roman"/>
                <w:sz w:val="20"/>
                <w:szCs w:val="20"/>
              </w:rPr>
            </w:pPr>
          </w:p>
          <w:p w:rsidR="00873972" w:rsidRPr="00561786" w:rsidRDefault="00A81738" w:rsidP="00E860E4">
            <w:pPr>
              <w:jc w:val="both"/>
              <w:rPr>
                <w:rFonts w:ascii="Verdana" w:eastAsia="Times New Roman" w:hAnsi="Verdana" w:cs="Times New Roman"/>
                <w:sz w:val="20"/>
                <w:szCs w:val="20"/>
              </w:rPr>
            </w:pPr>
            <w:r w:rsidRPr="00561786">
              <w:rPr>
                <w:rFonts w:ascii="Verdana" w:eastAsia="Times New Roman" w:hAnsi="Verdana" w:cs="Times New Roman"/>
                <w:sz w:val="20"/>
                <w:szCs w:val="20"/>
              </w:rPr>
              <w:t>De las obli</w:t>
            </w:r>
            <w:r w:rsidR="003C51CF" w:rsidRPr="00561786">
              <w:rPr>
                <w:rFonts w:ascii="Verdana" w:eastAsia="Times New Roman" w:hAnsi="Verdana" w:cs="Times New Roman"/>
                <w:sz w:val="20"/>
                <w:szCs w:val="20"/>
              </w:rPr>
              <w:t xml:space="preserve">gaciones de gastos de personal, el </w:t>
            </w:r>
            <w:r w:rsidR="00672437">
              <w:rPr>
                <w:rFonts w:ascii="Verdana" w:eastAsia="Times New Roman" w:hAnsi="Verdana" w:cs="Times New Roman"/>
                <w:sz w:val="20"/>
                <w:szCs w:val="20"/>
              </w:rPr>
              <w:t>66,54</w:t>
            </w:r>
            <w:r w:rsidR="002E3D99" w:rsidRPr="00796820">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t xml:space="preserve">corresponde a gastos asociados al salario, el </w:t>
            </w:r>
            <w:r w:rsidR="002360E0">
              <w:rPr>
                <w:rFonts w:ascii="Verdana" w:eastAsia="Times New Roman" w:hAnsi="Verdana" w:cs="Times New Roman"/>
                <w:sz w:val="20"/>
                <w:szCs w:val="20"/>
              </w:rPr>
              <w:t>23,</w:t>
            </w:r>
            <w:r w:rsidR="00672437">
              <w:rPr>
                <w:rFonts w:ascii="Verdana" w:eastAsia="Times New Roman" w:hAnsi="Verdana" w:cs="Times New Roman"/>
                <w:sz w:val="20"/>
                <w:szCs w:val="20"/>
              </w:rPr>
              <w:t>57</w:t>
            </w:r>
            <w:r w:rsidR="002E3D99" w:rsidRPr="00796820">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t>a gastos por contribucion</w:t>
            </w:r>
            <w:r w:rsidR="00561786" w:rsidRPr="00561786">
              <w:rPr>
                <w:rFonts w:ascii="Verdana" w:eastAsia="Times New Roman" w:hAnsi="Verdana" w:cs="Times New Roman"/>
                <w:sz w:val="20"/>
                <w:szCs w:val="20"/>
              </w:rPr>
              <w:t xml:space="preserve">es inherentes a la nómina y el </w:t>
            </w:r>
            <w:r w:rsidR="00672437">
              <w:rPr>
                <w:rFonts w:ascii="Verdana" w:eastAsia="Times New Roman" w:hAnsi="Verdana" w:cs="Times New Roman"/>
                <w:sz w:val="20"/>
                <w:szCs w:val="20"/>
              </w:rPr>
              <w:t>9,89</w:t>
            </w:r>
            <w:r w:rsidR="00672437" w:rsidRPr="00796820">
              <w:rPr>
                <w:rFonts w:ascii="Verdana" w:eastAsia="Times New Roman" w:hAnsi="Verdana" w:cs="Times New Roman"/>
                <w:sz w:val="20"/>
                <w:szCs w:val="20"/>
              </w:rPr>
              <w:t xml:space="preserve">% </w:t>
            </w:r>
            <w:r w:rsidR="00672437" w:rsidRPr="00561786">
              <w:rPr>
                <w:rFonts w:ascii="Verdana" w:eastAsia="Times New Roman" w:hAnsi="Verdana" w:cs="Times New Roman"/>
                <w:sz w:val="20"/>
                <w:szCs w:val="20"/>
              </w:rPr>
              <w:t>restante</w:t>
            </w:r>
            <w:r w:rsidR="003C51CF" w:rsidRPr="00561786">
              <w:rPr>
                <w:rFonts w:ascii="Verdana" w:eastAsia="Times New Roman" w:hAnsi="Verdana" w:cs="Times New Roman"/>
                <w:sz w:val="20"/>
                <w:szCs w:val="20"/>
              </w:rPr>
              <w:t xml:space="preserve">, </w:t>
            </w:r>
            <w:r w:rsidR="003C51CF" w:rsidRPr="00561786">
              <w:rPr>
                <w:rFonts w:ascii="Verdana" w:eastAsia="Times New Roman" w:hAnsi="Verdana" w:cs="Times New Roman"/>
                <w:sz w:val="20"/>
                <w:szCs w:val="20"/>
              </w:rPr>
              <w:lastRenderedPageBreak/>
              <w:t>corresponde a remuneraciones no constitutivas de factor salarial.</w:t>
            </w:r>
          </w:p>
          <w:p w:rsidR="00123DEA" w:rsidRPr="003A4A1F" w:rsidRDefault="00123DEA" w:rsidP="00E860E4">
            <w:pPr>
              <w:jc w:val="both"/>
              <w:rPr>
                <w:rFonts w:ascii="Verdana" w:hAnsi="Verdana"/>
                <w:sz w:val="20"/>
                <w:szCs w:val="20"/>
                <w:highlight w:val="yellow"/>
              </w:rPr>
            </w:pPr>
          </w:p>
        </w:tc>
      </w:tr>
    </w:tbl>
    <w:p w:rsidR="007E4852" w:rsidRDefault="007E4852" w:rsidP="00B41CB3">
      <w:pPr>
        <w:rPr>
          <w:rFonts w:ascii="Verdana" w:hAnsi="Verdana"/>
          <w:b/>
          <w:sz w:val="22"/>
          <w:szCs w:val="20"/>
          <w:highlight w:val="yellow"/>
        </w:rPr>
      </w:pPr>
    </w:p>
    <w:p w:rsidR="00873972" w:rsidRDefault="006D7E6A" w:rsidP="00B41CB3">
      <w:pPr>
        <w:rPr>
          <w:rFonts w:ascii="Verdana" w:hAnsi="Verdana"/>
          <w:b/>
          <w:sz w:val="22"/>
          <w:szCs w:val="20"/>
        </w:rPr>
      </w:pPr>
      <w:r w:rsidRPr="00ED1308">
        <w:rPr>
          <w:rFonts w:ascii="Verdana" w:hAnsi="Verdana"/>
          <w:b/>
          <w:sz w:val="22"/>
          <w:szCs w:val="20"/>
        </w:rPr>
        <w:t>Adquisición de Bienes y Servicios</w:t>
      </w:r>
    </w:p>
    <w:p w:rsidR="003E138E" w:rsidRPr="00D62888" w:rsidRDefault="003E138E" w:rsidP="00B41CB3">
      <w:pP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D62888" w:rsidRDefault="003F2322" w:rsidP="00B41CB3">
            <w:pPr>
              <w:jc w:val="center"/>
              <w:rPr>
                <w:rFonts w:ascii="Verdana" w:hAnsi="Verdana"/>
                <w:b/>
                <w:sz w:val="22"/>
                <w:szCs w:val="20"/>
              </w:rPr>
            </w:pPr>
            <w:r w:rsidRPr="00D62888">
              <w:rPr>
                <w:rFonts w:ascii="Verdana" w:hAnsi="Verdana"/>
                <w:b/>
                <w:sz w:val="22"/>
                <w:szCs w:val="20"/>
              </w:rPr>
              <w:t>Compromisos</w:t>
            </w:r>
          </w:p>
        </w:tc>
        <w:tc>
          <w:tcPr>
            <w:tcW w:w="6640" w:type="dxa"/>
          </w:tcPr>
          <w:p w:rsidR="003F2322" w:rsidRPr="009245D1" w:rsidRDefault="003F2322" w:rsidP="00B41CB3">
            <w:pPr>
              <w:jc w:val="center"/>
              <w:rPr>
                <w:rFonts w:ascii="Verdana" w:hAnsi="Verdana"/>
                <w:b/>
                <w:sz w:val="22"/>
                <w:szCs w:val="20"/>
              </w:rPr>
            </w:pPr>
            <w:r w:rsidRPr="00856C2D">
              <w:rPr>
                <w:rFonts w:ascii="Verdana" w:hAnsi="Verdana"/>
                <w:b/>
                <w:sz w:val="22"/>
                <w:szCs w:val="20"/>
              </w:rPr>
              <w:t>Obligaciones</w:t>
            </w:r>
          </w:p>
        </w:tc>
      </w:tr>
      <w:tr w:rsidR="00873972" w:rsidRPr="003A4A1F" w:rsidTr="003F2322">
        <w:tc>
          <w:tcPr>
            <w:tcW w:w="6638" w:type="dxa"/>
          </w:tcPr>
          <w:p w:rsidR="003A3C1F" w:rsidRPr="00F51D3F" w:rsidRDefault="003A3C1F" w:rsidP="003A3C1F">
            <w:pPr>
              <w:jc w:val="both"/>
              <w:rPr>
                <w:rFonts w:ascii="Verdana" w:hAnsi="Verdana"/>
                <w:sz w:val="20"/>
                <w:szCs w:val="20"/>
              </w:rPr>
            </w:pPr>
            <w:r w:rsidRPr="00F51D3F">
              <w:rPr>
                <w:rFonts w:ascii="Verdana" w:hAnsi="Verdana"/>
                <w:b/>
                <w:sz w:val="20"/>
                <w:szCs w:val="20"/>
              </w:rPr>
              <w:t>Indicador:</w:t>
            </w:r>
            <w:r w:rsidRPr="00F51D3F">
              <w:rPr>
                <w:rFonts w:ascii="Verdana" w:hAnsi="Verdana"/>
                <w:sz w:val="20"/>
                <w:szCs w:val="20"/>
              </w:rPr>
              <w:t xml:space="preserve"> Ejecución Compromisos / Apropiación Vigente.</w:t>
            </w:r>
          </w:p>
          <w:p w:rsidR="003A3C1F" w:rsidRPr="00F51D3F" w:rsidRDefault="003A3C1F" w:rsidP="003A3C1F">
            <w:pPr>
              <w:jc w:val="both"/>
              <w:rPr>
                <w:rFonts w:ascii="Verdana" w:hAnsi="Verdana"/>
                <w:sz w:val="20"/>
                <w:szCs w:val="20"/>
              </w:rPr>
            </w:pPr>
            <w:r w:rsidRPr="00F51D3F">
              <w:rPr>
                <w:rFonts w:ascii="Verdana" w:hAnsi="Verdana"/>
                <w:b/>
                <w:sz w:val="20"/>
                <w:szCs w:val="20"/>
              </w:rPr>
              <w:t>Indicador:</w:t>
            </w:r>
            <w:r w:rsidR="00F51D3F">
              <w:rPr>
                <w:rFonts w:ascii="Verdana" w:hAnsi="Verdana"/>
                <w:sz w:val="20"/>
                <w:szCs w:val="20"/>
              </w:rPr>
              <w:t xml:space="preserve"> </w:t>
            </w:r>
            <w:r w:rsidR="00DE76AB">
              <w:rPr>
                <w:rFonts w:ascii="Verdana" w:hAnsi="Verdana"/>
                <w:sz w:val="20"/>
                <w:szCs w:val="20"/>
              </w:rPr>
              <w:t>3.</w:t>
            </w:r>
            <w:r w:rsidR="00252ABC">
              <w:rPr>
                <w:rFonts w:ascii="Verdana" w:hAnsi="Verdana"/>
                <w:sz w:val="20"/>
                <w:szCs w:val="20"/>
              </w:rPr>
              <w:t>230</w:t>
            </w:r>
            <w:r w:rsidR="00DE76AB">
              <w:rPr>
                <w:rFonts w:ascii="Verdana" w:hAnsi="Verdana"/>
                <w:sz w:val="20"/>
                <w:szCs w:val="20"/>
              </w:rPr>
              <w:t>,</w:t>
            </w:r>
            <w:r w:rsidR="00252ABC">
              <w:rPr>
                <w:rFonts w:ascii="Verdana" w:hAnsi="Verdana"/>
                <w:sz w:val="20"/>
                <w:szCs w:val="20"/>
              </w:rPr>
              <w:t>1</w:t>
            </w:r>
            <w:r w:rsidR="00A97E91">
              <w:rPr>
                <w:rFonts w:ascii="Verdana" w:hAnsi="Verdana"/>
                <w:sz w:val="20"/>
                <w:szCs w:val="20"/>
              </w:rPr>
              <w:t xml:space="preserve"> </w:t>
            </w:r>
            <w:r w:rsidR="00B378AF" w:rsidRPr="00F51D3F">
              <w:rPr>
                <w:rFonts w:ascii="Verdana" w:hAnsi="Verdana"/>
                <w:sz w:val="20"/>
                <w:szCs w:val="20"/>
              </w:rPr>
              <w:t xml:space="preserve">/ </w:t>
            </w:r>
            <w:r w:rsidR="006D7E6A" w:rsidRPr="00F51D3F">
              <w:rPr>
                <w:rFonts w:ascii="Verdana" w:hAnsi="Verdana"/>
                <w:sz w:val="20"/>
                <w:szCs w:val="20"/>
              </w:rPr>
              <w:t xml:space="preserve">3.824,0 </w:t>
            </w:r>
            <w:r w:rsidRPr="00F51D3F">
              <w:rPr>
                <w:rFonts w:ascii="Verdana" w:hAnsi="Verdana"/>
                <w:sz w:val="20"/>
                <w:szCs w:val="20"/>
              </w:rPr>
              <w:t xml:space="preserve">= </w:t>
            </w:r>
            <w:r w:rsidR="00252ABC">
              <w:rPr>
                <w:rFonts w:ascii="Verdana" w:hAnsi="Verdana"/>
                <w:sz w:val="20"/>
                <w:szCs w:val="20"/>
              </w:rPr>
              <w:t>84</w:t>
            </w:r>
            <w:r w:rsidR="002F6AA6">
              <w:rPr>
                <w:rFonts w:ascii="Verdana" w:hAnsi="Verdana"/>
                <w:sz w:val="20"/>
                <w:szCs w:val="20"/>
              </w:rPr>
              <w:t>,</w:t>
            </w:r>
            <w:r w:rsidR="00252ABC">
              <w:rPr>
                <w:rFonts w:ascii="Verdana" w:hAnsi="Verdana"/>
                <w:sz w:val="20"/>
                <w:szCs w:val="20"/>
              </w:rPr>
              <w:t>47</w:t>
            </w:r>
            <w:r w:rsidRPr="00F51D3F">
              <w:rPr>
                <w:rFonts w:ascii="Verdana" w:hAnsi="Verdana"/>
                <w:sz w:val="20"/>
                <w:szCs w:val="20"/>
              </w:rPr>
              <w:t>%.</w:t>
            </w:r>
          </w:p>
          <w:p w:rsidR="003A3C1F" w:rsidRPr="003A4A1F" w:rsidRDefault="003A3C1F" w:rsidP="003A3C1F">
            <w:pPr>
              <w:jc w:val="both"/>
              <w:rPr>
                <w:rFonts w:ascii="Verdana" w:hAnsi="Verdana"/>
                <w:sz w:val="20"/>
                <w:szCs w:val="20"/>
                <w:highlight w:val="yellow"/>
              </w:rPr>
            </w:pPr>
          </w:p>
          <w:p w:rsidR="00F807E3" w:rsidRDefault="003A3C1F" w:rsidP="00A36F0E">
            <w:pPr>
              <w:jc w:val="both"/>
              <w:rPr>
                <w:rFonts w:ascii="Verdana" w:hAnsi="Verdana" w:cs="Arial"/>
                <w:sz w:val="20"/>
                <w:szCs w:val="20"/>
              </w:rPr>
            </w:pPr>
            <w:r w:rsidRPr="00A97E91">
              <w:rPr>
                <w:rFonts w:ascii="Verdana" w:hAnsi="Verdana"/>
                <w:sz w:val="20"/>
                <w:szCs w:val="20"/>
              </w:rPr>
              <w:t xml:space="preserve">La ejecución de los gastos </w:t>
            </w:r>
            <w:r w:rsidR="00CE0F85" w:rsidRPr="00A97E91">
              <w:rPr>
                <w:rFonts w:ascii="Verdana" w:hAnsi="Verdana"/>
                <w:sz w:val="20"/>
                <w:szCs w:val="20"/>
              </w:rPr>
              <w:t>por adquisición de bienes y servicios</w:t>
            </w:r>
            <w:r w:rsidRPr="00A97E91">
              <w:rPr>
                <w:rFonts w:ascii="Verdana" w:hAnsi="Verdana"/>
                <w:sz w:val="20"/>
                <w:szCs w:val="20"/>
              </w:rPr>
              <w:t xml:space="preserve"> </w:t>
            </w:r>
            <w:r w:rsidR="00F86597" w:rsidRPr="00A97E91">
              <w:rPr>
                <w:rFonts w:ascii="Verdana" w:hAnsi="Verdana"/>
                <w:sz w:val="20"/>
                <w:szCs w:val="20"/>
              </w:rPr>
              <w:t>fue</w:t>
            </w:r>
            <w:r w:rsidRPr="00A97E91">
              <w:rPr>
                <w:rFonts w:ascii="Verdana" w:hAnsi="Verdana"/>
                <w:sz w:val="20"/>
                <w:szCs w:val="20"/>
              </w:rPr>
              <w:t xml:space="preserve"> </w:t>
            </w:r>
            <w:r w:rsidR="00F86597" w:rsidRPr="00A97E91">
              <w:rPr>
                <w:rFonts w:ascii="Verdana" w:hAnsi="Verdana"/>
                <w:sz w:val="20"/>
                <w:szCs w:val="20"/>
              </w:rPr>
              <w:t>d</w:t>
            </w:r>
            <w:r w:rsidRPr="00A97E91">
              <w:rPr>
                <w:rFonts w:ascii="Verdana" w:hAnsi="Verdana"/>
                <w:sz w:val="20"/>
                <w:szCs w:val="20"/>
              </w:rPr>
              <w:t xml:space="preserve">el </w:t>
            </w:r>
            <w:r w:rsidR="00252ABC">
              <w:rPr>
                <w:rFonts w:ascii="Verdana" w:hAnsi="Verdana"/>
                <w:sz w:val="20"/>
                <w:szCs w:val="20"/>
              </w:rPr>
              <w:t>84,47</w:t>
            </w:r>
            <w:r w:rsidR="00A36F0E">
              <w:rPr>
                <w:rFonts w:ascii="Verdana" w:hAnsi="Verdana"/>
                <w:sz w:val="20"/>
                <w:szCs w:val="20"/>
              </w:rPr>
              <w:t xml:space="preserve">% </w:t>
            </w:r>
            <w:r w:rsidR="00CE0F85" w:rsidRPr="00A97E91">
              <w:rPr>
                <w:rFonts w:ascii="Verdana" w:hAnsi="Verdana"/>
                <w:sz w:val="20"/>
                <w:szCs w:val="20"/>
              </w:rPr>
              <w:t>con respecto a la</w:t>
            </w:r>
            <w:r w:rsidRPr="00A97E91">
              <w:rPr>
                <w:rFonts w:ascii="Verdana" w:hAnsi="Verdana"/>
                <w:sz w:val="20"/>
                <w:szCs w:val="20"/>
              </w:rPr>
              <w:t xml:space="preserve"> apropi</w:t>
            </w:r>
            <w:r w:rsidR="00DC6094" w:rsidRPr="00A97E91">
              <w:rPr>
                <w:rFonts w:ascii="Verdana" w:hAnsi="Verdana"/>
                <w:sz w:val="20"/>
                <w:szCs w:val="20"/>
              </w:rPr>
              <w:t>ación</w:t>
            </w:r>
            <w:r w:rsidR="00CE0F85" w:rsidRPr="00A97E91">
              <w:rPr>
                <w:rFonts w:ascii="Verdana" w:hAnsi="Verdana"/>
                <w:sz w:val="20"/>
                <w:szCs w:val="20"/>
              </w:rPr>
              <w:t>,</w:t>
            </w:r>
            <w:r w:rsidR="00DC6094" w:rsidRPr="00A97E91">
              <w:rPr>
                <w:rFonts w:ascii="Verdana" w:hAnsi="Verdana"/>
                <w:sz w:val="20"/>
                <w:szCs w:val="20"/>
              </w:rPr>
              <w:t xml:space="preserve"> frente a una meta del </w:t>
            </w:r>
            <w:r w:rsidR="00252ABC">
              <w:rPr>
                <w:rFonts w:ascii="Verdana" w:hAnsi="Verdana"/>
                <w:sz w:val="20"/>
                <w:szCs w:val="20"/>
              </w:rPr>
              <w:t>75,86</w:t>
            </w:r>
            <w:r w:rsidRPr="00A97E91">
              <w:rPr>
                <w:rFonts w:ascii="Verdana" w:hAnsi="Verdana"/>
                <w:sz w:val="20"/>
                <w:szCs w:val="20"/>
              </w:rPr>
              <w:t>%</w:t>
            </w:r>
            <w:r w:rsidR="00BA14D5">
              <w:rPr>
                <w:rFonts w:ascii="Verdana" w:hAnsi="Verdana"/>
                <w:sz w:val="20"/>
                <w:szCs w:val="20"/>
              </w:rPr>
              <w:t xml:space="preserve">, presentando </w:t>
            </w:r>
            <w:r w:rsidR="00252ABC">
              <w:rPr>
                <w:rFonts w:ascii="Verdana" w:hAnsi="Verdana" w:cs="Arial"/>
                <w:sz w:val="20"/>
                <w:szCs w:val="20"/>
              </w:rPr>
              <w:t xml:space="preserve">superávit </w:t>
            </w:r>
            <w:r w:rsidR="00252ABC" w:rsidRPr="00902BE7">
              <w:rPr>
                <w:rFonts w:ascii="Verdana" w:hAnsi="Verdana" w:cs="Arial"/>
                <w:sz w:val="20"/>
                <w:szCs w:val="20"/>
              </w:rPr>
              <w:t xml:space="preserve">en adquisición de bienes y servicios por </w:t>
            </w:r>
            <w:r w:rsidR="00252ABC">
              <w:rPr>
                <w:rFonts w:ascii="Verdana" w:hAnsi="Verdana" w:cs="Arial"/>
                <w:sz w:val="20"/>
                <w:szCs w:val="20"/>
              </w:rPr>
              <w:t>329,0</w:t>
            </w:r>
            <w:r w:rsidR="00252ABC" w:rsidRPr="00902BE7">
              <w:rPr>
                <w:rFonts w:ascii="Verdana" w:hAnsi="Verdana" w:cs="Arial"/>
                <w:sz w:val="20"/>
                <w:szCs w:val="20"/>
              </w:rPr>
              <w:t xml:space="preserve"> millones,</w:t>
            </w:r>
            <w:r w:rsidR="00252ABC">
              <w:rPr>
                <w:rFonts w:ascii="Verdana" w:hAnsi="Verdana" w:cs="Arial"/>
                <w:sz w:val="20"/>
                <w:szCs w:val="20"/>
              </w:rPr>
              <w:t xml:space="preserve"> se cumplió la meta, debido que este mes se realizó el pago a la Comisión Nacional Del Servicio y el contrato de adquisición de elementos de papelería y útiles de oficina para la entidad.</w:t>
            </w:r>
          </w:p>
          <w:p w:rsidR="00252ABC" w:rsidRDefault="00252ABC" w:rsidP="00A36F0E">
            <w:pPr>
              <w:jc w:val="both"/>
              <w:rPr>
                <w:rFonts w:ascii="Verdana" w:hAnsi="Verdana" w:cs="Arial"/>
                <w:sz w:val="20"/>
                <w:szCs w:val="20"/>
              </w:rPr>
            </w:pPr>
          </w:p>
          <w:p w:rsidR="00873972" w:rsidRPr="003A4A1F" w:rsidRDefault="003A3C1F" w:rsidP="00F16A9E">
            <w:pPr>
              <w:jc w:val="both"/>
              <w:rPr>
                <w:rFonts w:ascii="Verdana" w:hAnsi="Verdana"/>
                <w:sz w:val="20"/>
                <w:szCs w:val="20"/>
                <w:highlight w:val="yellow"/>
              </w:rPr>
            </w:pPr>
            <w:r w:rsidRPr="00A97E91">
              <w:rPr>
                <w:rFonts w:ascii="Verdana" w:hAnsi="Verdana"/>
                <w:sz w:val="20"/>
                <w:szCs w:val="20"/>
              </w:rPr>
              <w:t xml:space="preserve">Con corte a </w:t>
            </w:r>
            <w:r w:rsidR="00252ABC">
              <w:rPr>
                <w:rFonts w:ascii="Verdana" w:hAnsi="Verdana"/>
                <w:sz w:val="20"/>
                <w:szCs w:val="20"/>
              </w:rPr>
              <w:t xml:space="preserve">30 de septiembre </w:t>
            </w:r>
            <w:r w:rsidR="00D16380">
              <w:rPr>
                <w:rFonts w:ascii="Verdana" w:hAnsi="Verdana"/>
                <w:sz w:val="20"/>
                <w:szCs w:val="20"/>
              </w:rPr>
              <w:t xml:space="preserve"> </w:t>
            </w:r>
            <w:r w:rsidR="00B44E51" w:rsidRPr="00A97E91">
              <w:rPr>
                <w:rFonts w:ascii="Verdana" w:hAnsi="Verdana"/>
                <w:sz w:val="20"/>
                <w:szCs w:val="20"/>
              </w:rPr>
              <w:t>de 2019</w:t>
            </w:r>
            <w:r w:rsidRPr="00A97E91">
              <w:rPr>
                <w:rFonts w:ascii="Verdana" w:hAnsi="Verdana"/>
                <w:sz w:val="20"/>
                <w:szCs w:val="20"/>
              </w:rPr>
              <w:t xml:space="preserve">, los compromisos se distribuyeron de la siguiente manera: </w:t>
            </w:r>
            <w:r w:rsidR="00A36F0E" w:rsidRPr="00A36F0E">
              <w:rPr>
                <w:rFonts w:ascii="Verdana" w:hAnsi="Verdana"/>
                <w:sz w:val="20"/>
                <w:szCs w:val="20"/>
              </w:rPr>
              <w:t>1)</w:t>
            </w:r>
            <w:r w:rsidR="0018112F">
              <w:t xml:space="preserve"> </w:t>
            </w:r>
            <w:r w:rsidR="0018112F" w:rsidRPr="0018112F">
              <w:rPr>
                <w:rFonts w:ascii="Verdana" w:hAnsi="Verdana"/>
                <w:sz w:val="20"/>
                <w:szCs w:val="20"/>
              </w:rPr>
              <w:t>Otros Bienes Transportables (Excepto Productos Metálicos, Maquinaria Y Equipo)</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D16380">
              <w:rPr>
                <w:rFonts w:ascii="Verdana" w:hAnsi="Verdana"/>
                <w:sz w:val="20"/>
                <w:szCs w:val="20"/>
              </w:rPr>
              <w:t>2,</w:t>
            </w:r>
            <w:r w:rsidR="00252ABC">
              <w:rPr>
                <w:rFonts w:ascii="Verdana" w:hAnsi="Verdana"/>
                <w:sz w:val="20"/>
                <w:szCs w:val="20"/>
              </w:rPr>
              <w:t>71</w:t>
            </w:r>
            <w:r w:rsidR="00A36F0E" w:rsidRPr="00A36F0E">
              <w:rPr>
                <w:rFonts w:ascii="Verdana" w:hAnsi="Verdana"/>
                <w:sz w:val="20"/>
                <w:szCs w:val="20"/>
              </w:rPr>
              <w:t xml:space="preserve">%; 2) </w:t>
            </w:r>
            <w:r w:rsidR="0018112F" w:rsidRPr="0018112F">
              <w:rPr>
                <w:rFonts w:ascii="Verdana" w:hAnsi="Verdana"/>
                <w:sz w:val="20"/>
                <w:szCs w:val="20"/>
              </w:rPr>
              <w:t>Productos Alimenticios, Bebidas Y Tabaco; Textiles, Prendas De Vestir Y Productos De Cuero</w:t>
            </w:r>
            <w:r w:rsidR="0018112F">
              <w:rPr>
                <w:rFonts w:ascii="Verdana" w:hAnsi="Verdana"/>
                <w:sz w:val="20"/>
                <w:szCs w:val="20"/>
              </w:rPr>
              <w:t xml:space="preserve"> </w:t>
            </w:r>
            <w:r w:rsidR="0018112F" w:rsidRPr="00A36F0E">
              <w:rPr>
                <w:rFonts w:ascii="Verdana" w:hAnsi="Verdana"/>
                <w:sz w:val="20"/>
                <w:szCs w:val="20"/>
              </w:rPr>
              <w:t xml:space="preserve">con </w:t>
            </w:r>
            <w:r w:rsidR="00A36F0E" w:rsidRPr="00A36F0E">
              <w:rPr>
                <w:rFonts w:ascii="Verdana" w:hAnsi="Verdana"/>
                <w:sz w:val="20"/>
                <w:szCs w:val="20"/>
              </w:rPr>
              <w:t xml:space="preserve">el </w:t>
            </w:r>
            <w:r w:rsidR="00A36F0E">
              <w:rPr>
                <w:rFonts w:ascii="Verdana" w:hAnsi="Verdana"/>
                <w:sz w:val="20"/>
                <w:szCs w:val="20"/>
              </w:rPr>
              <w:t>0,</w:t>
            </w:r>
            <w:r w:rsidR="00252ABC">
              <w:rPr>
                <w:rFonts w:ascii="Verdana" w:hAnsi="Verdana"/>
                <w:sz w:val="20"/>
                <w:szCs w:val="20"/>
              </w:rPr>
              <w:t>17</w:t>
            </w:r>
            <w:r w:rsidR="00A36F0E" w:rsidRPr="00A36F0E">
              <w:rPr>
                <w:rFonts w:ascii="Verdana" w:hAnsi="Verdana"/>
                <w:sz w:val="20"/>
                <w:szCs w:val="20"/>
              </w:rPr>
              <w:t xml:space="preserve">%; 3) </w:t>
            </w:r>
            <w:r w:rsidR="00252ABC" w:rsidRPr="00252ABC">
              <w:rPr>
                <w:rFonts w:ascii="Verdana" w:hAnsi="Verdana"/>
                <w:sz w:val="20"/>
                <w:szCs w:val="20"/>
              </w:rPr>
              <w:t xml:space="preserve">Productos </w:t>
            </w:r>
            <w:r w:rsidR="00252ABC">
              <w:rPr>
                <w:rFonts w:ascii="Verdana" w:hAnsi="Verdana"/>
                <w:sz w:val="20"/>
                <w:szCs w:val="20"/>
              </w:rPr>
              <w:t>Metálicos Y Paquetes De Software con el 0,06%;</w:t>
            </w:r>
            <w:r w:rsidR="00252ABC" w:rsidRPr="00252ABC">
              <w:rPr>
                <w:rFonts w:ascii="Verdana" w:hAnsi="Verdana"/>
                <w:sz w:val="20"/>
                <w:szCs w:val="20"/>
              </w:rPr>
              <w:t xml:space="preserve"> </w:t>
            </w:r>
            <w:r w:rsidR="00252ABC">
              <w:rPr>
                <w:rFonts w:ascii="Verdana" w:hAnsi="Verdana"/>
                <w:sz w:val="20"/>
                <w:szCs w:val="20"/>
              </w:rPr>
              <w:t>4)</w:t>
            </w:r>
            <w:r w:rsidR="0018112F" w:rsidRPr="0018112F">
              <w:rPr>
                <w:rFonts w:ascii="Verdana" w:hAnsi="Verdana"/>
                <w:sz w:val="20"/>
                <w:szCs w:val="20"/>
              </w:rPr>
              <w:t>Servicios De Alojamiento; Servicios De Suministro De Comidas Y Bebidas; Servicios De Transporte; Y Servicios De Distribución De Electricidad, Gas Y Agua</w:t>
            </w:r>
            <w:r w:rsidR="0018112F">
              <w:rPr>
                <w:rFonts w:ascii="Verdana" w:hAnsi="Verdana"/>
                <w:sz w:val="20"/>
                <w:szCs w:val="20"/>
              </w:rPr>
              <w:t xml:space="preserve"> </w:t>
            </w:r>
            <w:r w:rsidR="00A36F0E" w:rsidRPr="00A36F0E">
              <w:rPr>
                <w:rFonts w:ascii="Verdana" w:hAnsi="Verdana"/>
                <w:sz w:val="20"/>
                <w:szCs w:val="20"/>
              </w:rPr>
              <w:t xml:space="preserve">con el </w:t>
            </w:r>
            <w:r w:rsidR="00252ABC">
              <w:rPr>
                <w:rFonts w:ascii="Verdana" w:hAnsi="Verdana"/>
                <w:sz w:val="20"/>
                <w:szCs w:val="20"/>
              </w:rPr>
              <w:t>7,65</w:t>
            </w:r>
            <w:r w:rsidR="008D208A">
              <w:rPr>
                <w:rFonts w:ascii="Verdana" w:hAnsi="Verdana"/>
                <w:sz w:val="20"/>
                <w:szCs w:val="20"/>
              </w:rPr>
              <w:t>%; 5</w:t>
            </w:r>
            <w:r w:rsidR="00A36F0E" w:rsidRPr="00A36F0E">
              <w:rPr>
                <w:rFonts w:ascii="Verdana" w:hAnsi="Verdana"/>
                <w:sz w:val="20"/>
                <w:szCs w:val="20"/>
              </w:rPr>
              <w:t xml:space="preserve">) </w:t>
            </w:r>
            <w:r w:rsidR="0018112F" w:rsidRPr="0018112F">
              <w:rPr>
                <w:rFonts w:ascii="Verdana" w:hAnsi="Verdana"/>
                <w:sz w:val="20"/>
                <w:szCs w:val="20"/>
              </w:rPr>
              <w:t>Servicios De La Construcción</w:t>
            </w:r>
            <w:r w:rsidR="00A36F0E" w:rsidRPr="00A36F0E">
              <w:rPr>
                <w:rFonts w:ascii="Verdana" w:hAnsi="Verdana"/>
                <w:sz w:val="20"/>
                <w:szCs w:val="20"/>
              </w:rPr>
              <w:t xml:space="preserve"> con el </w:t>
            </w:r>
            <w:r w:rsidR="0018112F">
              <w:rPr>
                <w:rFonts w:ascii="Verdana" w:hAnsi="Verdana"/>
                <w:sz w:val="20"/>
                <w:szCs w:val="20"/>
              </w:rPr>
              <w:t>0,</w:t>
            </w:r>
            <w:r w:rsidR="008D208A">
              <w:rPr>
                <w:rFonts w:ascii="Verdana" w:hAnsi="Verdana"/>
                <w:sz w:val="20"/>
                <w:szCs w:val="20"/>
              </w:rPr>
              <w:t>56</w:t>
            </w:r>
            <w:r w:rsidR="00A36F0E" w:rsidRPr="00A36F0E">
              <w:rPr>
                <w:rFonts w:ascii="Verdana" w:hAnsi="Verdana"/>
                <w:sz w:val="20"/>
                <w:szCs w:val="20"/>
              </w:rPr>
              <w:t xml:space="preserve">%; </w:t>
            </w:r>
            <w:r w:rsidR="008D208A">
              <w:rPr>
                <w:rFonts w:ascii="Verdana" w:hAnsi="Verdana"/>
                <w:sz w:val="20"/>
                <w:szCs w:val="20"/>
              </w:rPr>
              <w:t>6</w:t>
            </w:r>
            <w:r w:rsidR="00A36F0E" w:rsidRPr="00A36F0E">
              <w:rPr>
                <w:rFonts w:ascii="Verdana" w:hAnsi="Verdana"/>
                <w:sz w:val="20"/>
                <w:szCs w:val="20"/>
              </w:rPr>
              <w:t xml:space="preserve">) </w:t>
            </w:r>
            <w:r w:rsidR="0018112F" w:rsidRPr="0018112F">
              <w:rPr>
                <w:rFonts w:ascii="Verdana" w:hAnsi="Verdana"/>
                <w:sz w:val="20"/>
                <w:szCs w:val="20"/>
              </w:rPr>
              <w:t>Servicios Financieros Y Servicios Conexos, Servicios Inmobiliarios Y Servicios De Leasing</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8D208A">
              <w:rPr>
                <w:rFonts w:ascii="Verdana" w:hAnsi="Verdana"/>
                <w:sz w:val="20"/>
                <w:szCs w:val="20"/>
              </w:rPr>
              <w:t>44,66</w:t>
            </w:r>
            <w:r w:rsidR="00A36F0E" w:rsidRPr="00A36F0E">
              <w:rPr>
                <w:rFonts w:ascii="Verdana" w:hAnsi="Verdana"/>
                <w:sz w:val="20"/>
                <w:szCs w:val="20"/>
              </w:rPr>
              <w:t xml:space="preserve">%; </w:t>
            </w:r>
            <w:r w:rsidR="008D208A">
              <w:rPr>
                <w:rFonts w:ascii="Verdana" w:hAnsi="Verdana"/>
                <w:sz w:val="20"/>
                <w:szCs w:val="20"/>
              </w:rPr>
              <w:t>7</w:t>
            </w:r>
            <w:r w:rsidR="00A36F0E" w:rsidRPr="00A36F0E">
              <w:rPr>
                <w:rFonts w:ascii="Verdana" w:hAnsi="Verdana"/>
                <w:sz w:val="20"/>
                <w:szCs w:val="20"/>
              </w:rPr>
              <w:t>) S</w:t>
            </w:r>
            <w:r w:rsidR="0018112F">
              <w:t xml:space="preserve"> </w:t>
            </w:r>
            <w:r w:rsidR="0018112F" w:rsidRPr="0018112F">
              <w:rPr>
                <w:rFonts w:ascii="Verdana" w:hAnsi="Verdana"/>
                <w:sz w:val="20"/>
                <w:szCs w:val="20"/>
              </w:rPr>
              <w:t xml:space="preserve">Servicios Para La Comunidad, Sociales Y Personales </w:t>
            </w:r>
            <w:r w:rsidR="00D16380">
              <w:rPr>
                <w:rFonts w:ascii="Verdana" w:hAnsi="Verdana"/>
                <w:sz w:val="20"/>
                <w:szCs w:val="20"/>
              </w:rPr>
              <w:t xml:space="preserve">con el </w:t>
            </w:r>
            <w:r w:rsidR="008D208A">
              <w:rPr>
                <w:rFonts w:ascii="Verdana" w:hAnsi="Verdana"/>
                <w:sz w:val="20"/>
                <w:szCs w:val="20"/>
              </w:rPr>
              <w:t>5,97</w:t>
            </w:r>
            <w:r w:rsidR="00A36F0E" w:rsidRPr="00A36F0E">
              <w:rPr>
                <w:rFonts w:ascii="Verdana" w:hAnsi="Verdana"/>
                <w:sz w:val="20"/>
                <w:szCs w:val="20"/>
              </w:rPr>
              <w:t xml:space="preserve">%; </w:t>
            </w:r>
            <w:r w:rsidR="008D208A">
              <w:rPr>
                <w:rFonts w:ascii="Verdana" w:hAnsi="Verdana"/>
                <w:sz w:val="20"/>
                <w:szCs w:val="20"/>
              </w:rPr>
              <w:t>8</w:t>
            </w:r>
            <w:r w:rsidR="00A36F0E" w:rsidRPr="00A36F0E">
              <w:rPr>
                <w:rFonts w:ascii="Verdana" w:hAnsi="Verdana"/>
                <w:sz w:val="20"/>
                <w:szCs w:val="20"/>
              </w:rPr>
              <w:t xml:space="preserve">) </w:t>
            </w:r>
            <w:r w:rsidR="0018112F" w:rsidRPr="0018112F">
              <w:rPr>
                <w:rFonts w:ascii="Verdana" w:hAnsi="Verdana"/>
                <w:sz w:val="20"/>
                <w:szCs w:val="20"/>
              </w:rPr>
              <w:t>Servicios Prestados A Las Empresas Y Servicios De Producción</w:t>
            </w:r>
            <w:r w:rsidR="0018112F" w:rsidRPr="00A36F0E">
              <w:rPr>
                <w:rFonts w:ascii="Verdana" w:hAnsi="Verdana"/>
                <w:sz w:val="20"/>
                <w:szCs w:val="20"/>
              </w:rPr>
              <w:t xml:space="preserve"> </w:t>
            </w:r>
            <w:r w:rsidR="00A36F0E" w:rsidRPr="00A36F0E">
              <w:rPr>
                <w:rFonts w:ascii="Verdana" w:hAnsi="Verdana"/>
                <w:sz w:val="20"/>
                <w:szCs w:val="20"/>
              </w:rPr>
              <w:t xml:space="preserve">con el </w:t>
            </w:r>
            <w:r w:rsidR="008D208A">
              <w:rPr>
                <w:rFonts w:ascii="Verdana" w:hAnsi="Verdana"/>
                <w:sz w:val="20"/>
                <w:szCs w:val="20"/>
              </w:rPr>
              <w:t>35,65%; 9</w:t>
            </w:r>
            <w:r w:rsidR="0018112F">
              <w:rPr>
                <w:rFonts w:ascii="Verdana" w:hAnsi="Verdana"/>
                <w:sz w:val="20"/>
                <w:szCs w:val="20"/>
              </w:rPr>
              <w:t>)</w:t>
            </w:r>
            <w:r w:rsidR="0018112F">
              <w:t xml:space="preserve"> </w:t>
            </w:r>
            <w:r w:rsidR="0018112F" w:rsidRPr="0018112F">
              <w:rPr>
                <w:rFonts w:ascii="Verdana" w:hAnsi="Verdana"/>
                <w:sz w:val="20"/>
                <w:szCs w:val="20"/>
              </w:rPr>
              <w:t>Viáticos De Los Funcionarios En Comisión</w:t>
            </w:r>
            <w:r w:rsidR="0018112F" w:rsidRPr="00A36F0E">
              <w:rPr>
                <w:rFonts w:ascii="Verdana" w:hAnsi="Verdana"/>
                <w:sz w:val="20"/>
                <w:szCs w:val="20"/>
              </w:rPr>
              <w:t xml:space="preserve"> </w:t>
            </w:r>
            <w:r w:rsidR="0018112F">
              <w:rPr>
                <w:rFonts w:ascii="Verdana" w:hAnsi="Verdana"/>
                <w:sz w:val="20"/>
                <w:szCs w:val="20"/>
              </w:rPr>
              <w:t xml:space="preserve"> con </w:t>
            </w:r>
            <w:r w:rsidR="0018112F" w:rsidRPr="00A36F0E">
              <w:rPr>
                <w:rFonts w:ascii="Verdana" w:hAnsi="Verdana"/>
                <w:sz w:val="20"/>
                <w:szCs w:val="20"/>
              </w:rPr>
              <w:t xml:space="preserve">el </w:t>
            </w:r>
            <w:r w:rsidR="008D208A">
              <w:rPr>
                <w:rFonts w:ascii="Verdana" w:hAnsi="Verdana"/>
                <w:sz w:val="20"/>
                <w:szCs w:val="20"/>
              </w:rPr>
              <w:t>2,68</w:t>
            </w:r>
            <w:r w:rsidR="0018112F">
              <w:rPr>
                <w:rFonts w:ascii="Verdana" w:hAnsi="Verdana"/>
                <w:sz w:val="20"/>
                <w:szCs w:val="20"/>
              </w:rPr>
              <w:t>%.</w:t>
            </w:r>
          </w:p>
        </w:tc>
        <w:tc>
          <w:tcPr>
            <w:tcW w:w="6640" w:type="dxa"/>
            <w:vAlign w:val="center"/>
          </w:tcPr>
          <w:p w:rsidR="001E4610" w:rsidRPr="009245D1" w:rsidRDefault="001E4610" w:rsidP="001E4610">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Indicador: Ejecución Obligaciones / Apropiación Vigente.</w:t>
            </w:r>
          </w:p>
          <w:p w:rsidR="001E4610" w:rsidRPr="009245D1" w:rsidRDefault="00A40138" w:rsidP="001E4610">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 xml:space="preserve">Indicador: </w:t>
            </w:r>
            <w:r w:rsidR="008F00BC" w:rsidRPr="009245D1">
              <w:rPr>
                <w:rFonts w:ascii="Verdana" w:eastAsiaTheme="minorHAnsi" w:hAnsi="Verdana" w:cs="Arial"/>
                <w:sz w:val="20"/>
                <w:szCs w:val="20"/>
                <w:lang w:val="es-CO" w:eastAsia="en-US"/>
              </w:rPr>
              <w:t>2.</w:t>
            </w:r>
            <w:r w:rsidR="00E528AE">
              <w:rPr>
                <w:rFonts w:ascii="Verdana" w:eastAsiaTheme="minorHAnsi" w:hAnsi="Verdana" w:cs="Arial"/>
                <w:sz w:val="20"/>
                <w:szCs w:val="20"/>
                <w:lang w:val="es-CO" w:eastAsia="en-US"/>
              </w:rPr>
              <w:t>420</w:t>
            </w:r>
            <w:r w:rsidR="00334403" w:rsidRPr="009245D1">
              <w:rPr>
                <w:rFonts w:ascii="Verdana" w:eastAsiaTheme="minorHAnsi" w:hAnsi="Verdana" w:cs="Arial"/>
                <w:sz w:val="20"/>
                <w:szCs w:val="20"/>
                <w:lang w:val="es-CO" w:eastAsia="en-US"/>
              </w:rPr>
              <w:t>,</w:t>
            </w:r>
            <w:r w:rsidR="00E528AE">
              <w:rPr>
                <w:rFonts w:ascii="Verdana" w:eastAsiaTheme="minorHAnsi" w:hAnsi="Verdana" w:cs="Arial"/>
                <w:sz w:val="20"/>
                <w:szCs w:val="20"/>
                <w:lang w:val="es-CO" w:eastAsia="en-US"/>
              </w:rPr>
              <w:t>0</w:t>
            </w:r>
            <w:r w:rsidR="00A97E91" w:rsidRPr="009245D1">
              <w:rPr>
                <w:rFonts w:ascii="Verdana" w:eastAsiaTheme="minorHAnsi" w:hAnsi="Verdana" w:cs="Arial"/>
                <w:sz w:val="20"/>
                <w:szCs w:val="20"/>
                <w:lang w:val="es-CO" w:eastAsia="en-US"/>
              </w:rPr>
              <w:t xml:space="preserve"> </w:t>
            </w:r>
            <w:r w:rsidR="008C5467" w:rsidRPr="009245D1">
              <w:rPr>
                <w:rFonts w:ascii="Verdana" w:eastAsiaTheme="minorHAnsi" w:hAnsi="Verdana" w:cs="Arial"/>
                <w:sz w:val="20"/>
                <w:szCs w:val="20"/>
                <w:lang w:val="es-CO" w:eastAsia="en-US"/>
              </w:rPr>
              <w:t xml:space="preserve">/ </w:t>
            </w:r>
            <w:r w:rsidR="006D7E6A" w:rsidRPr="009245D1">
              <w:rPr>
                <w:rFonts w:ascii="Verdana" w:eastAsiaTheme="minorHAnsi" w:hAnsi="Verdana" w:cs="Arial"/>
                <w:sz w:val="20"/>
                <w:szCs w:val="20"/>
                <w:lang w:val="es-CO" w:eastAsia="en-US"/>
              </w:rPr>
              <w:t xml:space="preserve">3.824,0 </w:t>
            </w:r>
            <w:r w:rsidR="001E4610" w:rsidRPr="009245D1">
              <w:rPr>
                <w:rFonts w:ascii="Verdana" w:eastAsiaTheme="minorHAnsi" w:hAnsi="Verdana" w:cs="Arial"/>
                <w:sz w:val="20"/>
                <w:szCs w:val="20"/>
                <w:lang w:val="es-CO" w:eastAsia="en-US"/>
              </w:rPr>
              <w:t xml:space="preserve">= </w:t>
            </w:r>
            <w:r w:rsidR="00E528AE">
              <w:rPr>
                <w:rFonts w:ascii="Verdana" w:eastAsiaTheme="minorHAnsi" w:hAnsi="Verdana" w:cs="Arial"/>
                <w:sz w:val="20"/>
                <w:szCs w:val="20"/>
                <w:lang w:val="es-CO" w:eastAsia="en-US"/>
              </w:rPr>
              <w:t>63</w:t>
            </w:r>
            <w:r w:rsidR="00552C27" w:rsidRPr="009245D1">
              <w:rPr>
                <w:rFonts w:ascii="Verdana" w:eastAsiaTheme="minorHAnsi" w:hAnsi="Verdana" w:cs="Arial"/>
                <w:sz w:val="20"/>
                <w:szCs w:val="20"/>
                <w:lang w:val="es-CO" w:eastAsia="en-US"/>
              </w:rPr>
              <w:t>,</w:t>
            </w:r>
            <w:r w:rsidR="00E528AE">
              <w:rPr>
                <w:rFonts w:ascii="Verdana" w:eastAsiaTheme="minorHAnsi" w:hAnsi="Verdana" w:cs="Arial"/>
                <w:sz w:val="20"/>
                <w:szCs w:val="20"/>
                <w:lang w:val="es-CO" w:eastAsia="en-US"/>
              </w:rPr>
              <w:t>28</w:t>
            </w:r>
            <w:r w:rsidR="009B34EA" w:rsidRPr="009245D1">
              <w:rPr>
                <w:rFonts w:ascii="Verdana" w:eastAsiaTheme="minorHAnsi" w:hAnsi="Verdana" w:cs="Arial"/>
                <w:sz w:val="20"/>
                <w:szCs w:val="20"/>
                <w:lang w:val="es-CO" w:eastAsia="en-US"/>
              </w:rPr>
              <w:t>%.</w:t>
            </w:r>
          </w:p>
          <w:p w:rsidR="001E4610" w:rsidRPr="009245D1" w:rsidRDefault="001E4610" w:rsidP="001E4610">
            <w:pPr>
              <w:jc w:val="both"/>
              <w:rPr>
                <w:rFonts w:ascii="Verdana" w:eastAsiaTheme="minorHAnsi" w:hAnsi="Verdana" w:cs="Arial"/>
                <w:sz w:val="20"/>
                <w:szCs w:val="20"/>
                <w:lang w:val="es-CO" w:eastAsia="en-US"/>
              </w:rPr>
            </w:pPr>
          </w:p>
          <w:p w:rsidR="00F765B7" w:rsidRPr="009245D1" w:rsidRDefault="008C5467" w:rsidP="004D756C">
            <w:pPr>
              <w:jc w:val="both"/>
              <w:rPr>
                <w:rFonts w:ascii="Verdana" w:hAnsi="Verdana" w:cs="Arial"/>
                <w:sz w:val="20"/>
                <w:szCs w:val="20"/>
                <w:lang w:val="es-CO"/>
              </w:rPr>
            </w:pPr>
            <w:r w:rsidRPr="009245D1">
              <w:rPr>
                <w:rFonts w:ascii="Verdana" w:eastAsiaTheme="minorHAnsi" w:hAnsi="Verdana" w:cs="Arial"/>
                <w:sz w:val="20"/>
                <w:szCs w:val="20"/>
                <w:lang w:val="es-CO" w:eastAsia="en-US"/>
              </w:rPr>
              <w:t xml:space="preserve">La ejecución alcanzó el </w:t>
            </w:r>
            <w:r w:rsidR="00C2687F">
              <w:rPr>
                <w:rFonts w:ascii="Verdana" w:eastAsiaTheme="minorHAnsi" w:hAnsi="Verdana" w:cs="Arial"/>
                <w:sz w:val="20"/>
                <w:szCs w:val="20"/>
                <w:lang w:val="es-CO" w:eastAsia="en-US"/>
              </w:rPr>
              <w:t>63,28</w:t>
            </w:r>
            <w:r w:rsidR="001E4610" w:rsidRPr="009245D1">
              <w:rPr>
                <w:rFonts w:ascii="Verdana" w:eastAsiaTheme="minorHAnsi" w:hAnsi="Verdana" w:cs="Arial"/>
                <w:sz w:val="20"/>
                <w:szCs w:val="20"/>
                <w:lang w:val="es-CO" w:eastAsia="en-US"/>
              </w:rPr>
              <w:t>% de la apropi</w:t>
            </w:r>
            <w:r w:rsidR="00754541" w:rsidRPr="009245D1">
              <w:rPr>
                <w:rFonts w:ascii="Verdana" w:eastAsiaTheme="minorHAnsi" w:hAnsi="Verdana" w:cs="Arial"/>
                <w:sz w:val="20"/>
                <w:szCs w:val="20"/>
                <w:lang w:val="es-CO" w:eastAsia="en-US"/>
              </w:rPr>
              <w:t>ación</w:t>
            </w:r>
            <w:r w:rsidR="00D92DE8" w:rsidRPr="009245D1">
              <w:rPr>
                <w:rFonts w:ascii="Verdana" w:eastAsiaTheme="minorHAnsi" w:hAnsi="Verdana" w:cs="Arial"/>
                <w:sz w:val="20"/>
                <w:szCs w:val="20"/>
                <w:lang w:val="es-CO" w:eastAsia="en-US"/>
              </w:rPr>
              <w:t>,</w:t>
            </w:r>
            <w:r w:rsidR="00754541" w:rsidRPr="009245D1">
              <w:rPr>
                <w:rFonts w:ascii="Verdana" w:eastAsiaTheme="minorHAnsi" w:hAnsi="Verdana" w:cs="Arial"/>
                <w:sz w:val="20"/>
                <w:szCs w:val="20"/>
                <w:lang w:val="es-CO" w:eastAsia="en-US"/>
              </w:rPr>
              <w:t xml:space="preserve"> frente a una meta del </w:t>
            </w:r>
            <w:r w:rsidR="00C2687F">
              <w:rPr>
                <w:rFonts w:ascii="Verdana" w:eastAsiaTheme="minorHAnsi" w:hAnsi="Verdana" w:cs="Arial"/>
                <w:sz w:val="20"/>
                <w:szCs w:val="20"/>
                <w:lang w:val="es-CO" w:eastAsia="en-US"/>
              </w:rPr>
              <w:t>63</w:t>
            </w:r>
            <w:r w:rsidR="008F00BC" w:rsidRPr="009245D1">
              <w:rPr>
                <w:rFonts w:ascii="Verdana" w:eastAsiaTheme="minorHAnsi" w:hAnsi="Verdana" w:cs="Arial"/>
                <w:sz w:val="20"/>
                <w:szCs w:val="20"/>
                <w:lang w:val="es-CO" w:eastAsia="en-US"/>
              </w:rPr>
              <w:t>,</w:t>
            </w:r>
            <w:r w:rsidR="00C2687F">
              <w:rPr>
                <w:rFonts w:ascii="Verdana" w:eastAsiaTheme="minorHAnsi" w:hAnsi="Verdana" w:cs="Arial"/>
                <w:sz w:val="20"/>
                <w:szCs w:val="20"/>
                <w:lang w:val="es-CO" w:eastAsia="en-US"/>
              </w:rPr>
              <w:t>08</w:t>
            </w:r>
            <w:r w:rsidR="00754541" w:rsidRPr="009245D1">
              <w:rPr>
                <w:rFonts w:ascii="Verdana" w:eastAsiaTheme="minorHAnsi" w:hAnsi="Verdana" w:cs="Arial"/>
                <w:sz w:val="20"/>
                <w:szCs w:val="20"/>
                <w:lang w:val="es-CO" w:eastAsia="en-US"/>
              </w:rPr>
              <w:t xml:space="preserve">%, </w:t>
            </w:r>
            <w:r w:rsidR="003B4994" w:rsidRPr="009245D1">
              <w:rPr>
                <w:rFonts w:ascii="Verdana" w:eastAsiaTheme="minorHAnsi" w:hAnsi="Verdana" w:cs="Arial"/>
                <w:sz w:val="20"/>
                <w:szCs w:val="20"/>
                <w:lang w:val="es-CO" w:eastAsia="en-US"/>
              </w:rPr>
              <w:t xml:space="preserve">presentándose un </w:t>
            </w:r>
            <w:r w:rsidR="00552C27" w:rsidRPr="009245D1">
              <w:rPr>
                <w:rFonts w:ascii="Verdana" w:hAnsi="Verdana" w:cs="Arial"/>
                <w:sz w:val="20"/>
                <w:szCs w:val="20"/>
                <w:lang w:val="es-CO"/>
              </w:rPr>
              <w:t xml:space="preserve">Superávit en la ejecución de adquisición de bienes y servicios por </w:t>
            </w:r>
            <w:r w:rsidR="00C2687F">
              <w:rPr>
                <w:rFonts w:ascii="Verdana" w:hAnsi="Verdana" w:cs="Arial"/>
                <w:sz w:val="20"/>
                <w:szCs w:val="20"/>
                <w:lang w:val="es-CO"/>
              </w:rPr>
              <w:t>7</w:t>
            </w:r>
            <w:r w:rsidR="008F00BC" w:rsidRPr="009245D1">
              <w:rPr>
                <w:rFonts w:ascii="Verdana" w:hAnsi="Verdana" w:cs="Arial"/>
                <w:sz w:val="20"/>
                <w:szCs w:val="20"/>
                <w:lang w:val="es-CO"/>
              </w:rPr>
              <w:t>,</w:t>
            </w:r>
            <w:r w:rsidR="00C2687F">
              <w:rPr>
                <w:rFonts w:ascii="Verdana" w:hAnsi="Verdana" w:cs="Arial"/>
                <w:sz w:val="20"/>
                <w:szCs w:val="20"/>
                <w:lang w:val="es-CO"/>
              </w:rPr>
              <w:t>9</w:t>
            </w:r>
            <w:r w:rsidR="00552C27" w:rsidRPr="009245D1">
              <w:rPr>
                <w:rFonts w:ascii="Verdana" w:hAnsi="Verdana" w:cs="Arial"/>
                <w:sz w:val="20"/>
                <w:szCs w:val="20"/>
                <w:lang w:val="es-CO"/>
              </w:rPr>
              <w:t xml:space="preserve"> </w:t>
            </w:r>
            <w:r w:rsidR="008F00BC" w:rsidRPr="009245D1">
              <w:rPr>
                <w:rFonts w:ascii="Verdana" w:hAnsi="Verdana" w:cs="Arial"/>
                <w:sz w:val="20"/>
                <w:szCs w:val="20"/>
                <w:lang w:val="es-CO"/>
              </w:rPr>
              <w:t>millón</w:t>
            </w:r>
            <w:r w:rsidR="00552C27" w:rsidRPr="009245D1">
              <w:rPr>
                <w:rFonts w:ascii="Verdana" w:hAnsi="Verdana" w:cs="Arial"/>
                <w:sz w:val="20"/>
                <w:szCs w:val="20"/>
                <w:lang w:val="es-CO"/>
              </w:rPr>
              <w:t>, se cumplió la meta.</w:t>
            </w:r>
          </w:p>
          <w:p w:rsidR="00552C27" w:rsidRPr="009245D1" w:rsidRDefault="00552C27" w:rsidP="004D756C">
            <w:pPr>
              <w:jc w:val="both"/>
              <w:rPr>
                <w:rFonts w:ascii="Verdana" w:eastAsiaTheme="minorHAnsi" w:hAnsi="Verdana" w:cs="Arial"/>
                <w:sz w:val="20"/>
                <w:szCs w:val="20"/>
                <w:lang w:val="es-CO" w:eastAsia="en-US"/>
              </w:rPr>
            </w:pPr>
          </w:p>
          <w:p w:rsidR="00890AD3" w:rsidRPr="009245D1" w:rsidRDefault="00A76823" w:rsidP="00890AD3">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Con corte a</w:t>
            </w:r>
            <w:r w:rsidR="00890AD3" w:rsidRPr="009245D1">
              <w:rPr>
                <w:rFonts w:ascii="Verdana" w:eastAsiaTheme="minorHAnsi" w:hAnsi="Verdana" w:cs="Arial"/>
                <w:sz w:val="20"/>
                <w:szCs w:val="20"/>
                <w:lang w:val="es-CO" w:eastAsia="en-US"/>
              </w:rPr>
              <w:t xml:space="preserve"> </w:t>
            </w:r>
            <w:r w:rsidR="00856C2D">
              <w:rPr>
                <w:rFonts w:ascii="Verdana" w:eastAsiaTheme="minorHAnsi" w:hAnsi="Verdana" w:cs="Arial"/>
                <w:sz w:val="20"/>
                <w:szCs w:val="20"/>
                <w:lang w:val="es-CO" w:eastAsia="en-US"/>
              </w:rPr>
              <w:t>30 de septie</w:t>
            </w:r>
            <w:r w:rsidR="00C2687F">
              <w:rPr>
                <w:rFonts w:ascii="Verdana" w:eastAsiaTheme="minorHAnsi" w:hAnsi="Verdana" w:cs="Arial"/>
                <w:sz w:val="20"/>
                <w:szCs w:val="20"/>
                <w:lang w:val="es-CO" w:eastAsia="en-US"/>
              </w:rPr>
              <w:t>mbre</w:t>
            </w:r>
            <w:r w:rsidR="008F00BC" w:rsidRPr="009245D1">
              <w:rPr>
                <w:rFonts w:ascii="Verdana" w:eastAsiaTheme="minorHAnsi" w:hAnsi="Verdana" w:cs="Arial"/>
                <w:sz w:val="20"/>
                <w:szCs w:val="20"/>
                <w:lang w:val="es-CO" w:eastAsia="en-US"/>
              </w:rPr>
              <w:t xml:space="preserve"> </w:t>
            </w:r>
            <w:r w:rsidR="00890AD3" w:rsidRPr="009245D1">
              <w:rPr>
                <w:rFonts w:ascii="Verdana" w:eastAsiaTheme="minorHAnsi" w:hAnsi="Verdana" w:cs="Arial"/>
                <w:sz w:val="20"/>
                <w:szCs w:val="20"/>
                <w:lang w:val="es-CO" w:eastAsia="en-US"/>
              </w:rPr>
              <w:t xml:space="preserve">de 2019, las obligaciones se han distribuido de la siguiente manera: </w:t>
            </w:r>
          </w:p>
          <w:p w:rsidR="00552C27" w:rsidRPr="009245D1" w:rsidRDefault="00552C27" w:rsidP="00890AD3">
            <w:pPr>
              <w:jc w:val="both"/>
              <w:rPr>
                <w:rFonts w:ascii="Verdana" w:eastAsiaTheme="minorHAnsi" w:hAnsi="Verdana" w:cs="Arial"/>
                <w:sz w:val="20"/>
                <w:szCs w:val="20"/>
                <w:lang w:val="es-CO" w:eastAsia="en-US"/>
              </w:rPr>
            </w:pPr>
          </w:p>
          <w:p w:rsidR="00890AD3" w:rsidRPr="009245D1" w:rsidRDefault="00F765B7" w:rsidP="00890AD3">
            <w:pPr>
              <w:jc w:val="both"/>
              <w:rPr>
                <w:rFonts w:ascii="Verdana" w:eastAsiaTheme="minorHAnsi" w:hAnsi="Verdana" w:cs="Arial"/>
                <w:sz w:val="20"/>
                <w:szCs w:val="20"/>
                <w:lang w:val="es-CO" w:eastAsia="en-US"/>
              </w:rPr>
            </w:pPr>
            <w:r w:rsidRPr="009245D1">
              <w:rPr>
                <w:rFonts w:ascii="Verdana" w:eastAsiaTheme="minorHAnsi" w:hAnsi="Verdana" w:cs="Arial"/>
                <w:sz w:val="20"/>
                <w:szCs w:val="20"/>
                <w:lang w:val="es-CO" w:eastAsia="en-US"/>
              </w:rPr>
              <w:t>1)</w:t>
            </w:r>
            <w:r w:rsidRPr="009245D1">
              <w:t xml:space="preserve"> </w:t>
            </w:r>
            <w:r w:rsidRPr="009245D1">
              <w:rPr>
                <w:rFonts w:ascii="Verdana" w:eastAsiaTheme="minorHAnsi" w:hAnsi="Verdana" w:cs="Arial"/>
                <w:sz w:val="20"/>
                <w:szCs w:val="20"/>
                <w:lang w:val="es-CO" w:eastAsia="en-US"/>
              </w:rPr>
              <w:t>Productos Alimenticios, Bebidas Y Tabaco; Textiles, Prendas De Vestir Y Productos De Cuero con el 0,</w:t>
            </w:r>
            <w:r w:rsidR="0097517B" w:rsidRPr="009245D1">
              <w:rPr>
                <w:rFonts w:ascii="Verdana" w:eastAsiaTheme="minorHAnsi" w:hAnsi="Verdana" w:cs="Arial"/>
                <w:sz w:val="20"/>
                <w:szCs w:val="20"/>
                <w:lang w:val="es-CO" w:eastAsia="en-US"/>
              </w:rPr>
              <w:t>0</w:t>
            </w:r>
            <w:r w:rsidR="00C2687F">
              <w:rPr>
                <w:rFonts w:ascii="Verdana" w:eastAsiaTheme="minorHAnsi" w:hAnsi="Verdana" w:cs="Arial"/>
                <w:sz w:val="20"/>
                <w:szCs w:val="20"/>
                <w:lang w:val="es-CO" w:eastAsia="en-US"/>
              </w:rPr>
              <w:t>8</w:t>
            </w:r>
            <w:r w:rsidRPr="009245D1">
              <w:rPr>
                <w:rFonts w:ascii="Verdana" w:eastAsiaTheme="minorHAnsi" w:hAnsi="Verdana" w:cs="Arial"/>
                <w:sz w:val="20"/>
                <w:szCs w:val="20"/>
                <w:lang w:val="es-CO" w:eastAsia="en-US"/>
              </w:rPr>
              <w:t>%;2</w:t>
            </w:r>
            <w:r w:rsidR="00890AD3" w:rsidRPr="009245D1">
              <w:rPr>
                <w:rFonts w:ascii="Verdana" w:eastAsiaTheme="minorHAnsi" w:hAnsi="Verdana" w:cs="Arial"/>
                <w:sz w:val="20"/>
                <w:szCs w:val="20"/>
                <w:lang w:val="es-CO" w:eastAsia="en-US"/>
              </w:rPr>
              <w:t xml:space="preserve">)Otros bienes transportables con el </w:t>
            </w:r>
            <w:r w:rsidR="0097517B" w:rsidRPr="009245D1">
              <w:rPr>
                <w:rFonts w:ascii="Verdana" w:eastAsiaTheme="minorHAnsi" w:hAnsi="Verdana" w:cs="Arial"/>
                <w:sz w:val="20"/>
                <w:szCs w:val="20"/>
                <w:lang w:val="es-CO" w:eastAsia="en-US"/>
              </w:rPr>
              <w:t>1,</w:t>
            </w:r>
            <w:r w:rsidR="00C2687F">
              <w:rPr>
                <w:rFonts w:ascii="Verdana" w:eastAsiaTheme="minorHAnsi" w:hAnsi="Verdana" w:cs="Arial"/>
                <w:sz w:val="20"/>
                <w:szCs w:val="20"/>
                <w:lang w:val="es-CO" w:eastAsia="en-US"/>
              </w:rPr>
              <w:t>6</w:t>
            </w:r>
            <w:r w:rsidR="0097517B" w:rsidRPr="009245D1">
              <w:rPr>
                <w:rFonts w:ascii="Verdana" w:eastAsiaTheme="minorHAnsi" w:hAnsi="Verdana" w:cs="Arial"/>
                <w:sz w:val="20"/>
                <w:szCs w:val="20"/>
                <w:lang w:val="es-CO" w:eastAsia="en-US"/>
              </w:rPr>
              <w:t>5</w:t>
            </w:r>
            <w:r w:rsidRPr="009245D1">
              <w:rPr>
                <w:rFonts w:ascii="Verdana" w:eastAsiaTheme="minorHAnsi" w:hAnsi="Verdana" w:cs="Arial"/>
                <w:sz w:val="20"/>
                <w:szCs w:val="20"/>
                <w:lang w:val="es-CO" w:eastAsia="en-US"/>
              </w:rPr>
              <w:t>%; 3</w:t>
            </w:r>
            <w:r w:rsidR="00890AD3" w:rsidRPr="009245D1">
              <w:rPr>
                <w:rFonts w:ascii="Verdana" w:eastAsiaTheme="minorHAnsi" w:hAnsi="Verdana" w:cs="Arial"/>
                <w:sz w:val="20"/>
                <w:szCs w:val="20"/>
                <w:lang w:val="es-CO" w:eastAsia="en-US"/>
              </w:rPr>
              <w:t>) Servicios de la construcción con el 0,</w:t>
            </w:r>
            <w:r w:rsidR="00C2687F">
              <w:rPr>
                <w:rFonts w:ascii="Verdana" w:eastAsiaTheme="minorHAnsi" w:hAnsi="Verdana" w:cs="Arial"/>
                <w:sz w:val="20"/>
                <w:szCs w:val="20"/>
                <w:lang w:val="es-CO" w:eastAsia="en-US"/>
              </w:rPr>
              <w:t>49</w:t>
            </w:r>
            <w:r w:rsidRPr="009245D1">
              <w:rPr>
                <w:rFonts w:ascii="Verdana" w:eastAsiaTheme="minorHAnsi" w:hAnsi="Verdana" w:cs="Arial"/>
                <w:sz w:val="20"/>
                <w:szCs w:val="20"/>
                <w:lang w:val="es-CO" w:eastAsia="en-US"/>
              </w:rPr>
              <w:t>%; 4</w:t>
            </w:r>
            <w:r w:rsidR="00890AD3" w:rsidRPr="009245D1">
              <w:rPr>
                <w:rFonts w:ascii="Verdana" w:eastAsiaTheme="minorHAnsi" w:hAnsi="Verdana" w:cs="Arial"/>
                <w:sz w:val="20"/>
                <w:szCs w:val="20"/>
                <w:lang w:val="es-CO" w:eastAsia="en-US"/>
              </w:rPr>
              <w:t>) Servicios de alojamiento, suministro de comidas y bebidas, transporte y servicios de distribución de ele</w:t>
            </w:r>
            <w:r w:rsidR="00A76823" w:rsidRPr="009245D1">
              <w:rPr>
                <w:rFonts w:ascii="Verdana" w:eastAsiaTheme="minorHAnsi" w:hAnsi="Verdana" w:cs="Arial"/>
                <w:sz w:val="20"/>
                <w:szCs w:val="20"/>
                <w:lang w:val="es-CO" w:eastAsia="en-US"/>
              </w:rPr>
              <w:t xml:space="preserve">ctricidad, gas y agua con el </w:t>
            </w:r>
            <w:r w:rsidR="00C2687F">
              <w:rPr>
                <w:rFonts w:ascii="Verdana" w:eastAsiaTheme="minorHAnsi" w:hAnsi="Verdana" w:cs="Arial"/>
                <w:sz w:val="20"/>
                <w:szCs w:val="20"/>
                <w:lang w:val="es-CO" w:eastAsia="en-US"/>
              </w:rPr>
              <w:t>7</w:t>
            </w:r>
            <w:r w:rsidR="0097517B" w:rsidRPr="009245D1">
              <w:rPr>
                <w:rFonts w:ascii="Verdana" w:eastAsiaTheme="minorHAnsi" w:hAnsi="Verdana" w:cs="Arial"/>
                <w:sz w:val="20"/>
                <w:szCs w:val="20"/>
                <w:lang w:val="es-CO" w:eastAsia="en-US"/>
              </w:rPr>
              <w:t>,</w:t>
            </w:r>
            <w:r w:rsidR="00C2687F">
              <w:rPr>
                <w:rFonts w:ascii="Verdana" w:eastAsiaTheme="minorHAnsi" w:hAnsi="Verdana" w:cs="Arial"/>
                <w:sz w:val="20"/>
                <w:szCs w:val="20"/>
                <w:lang w:val="es-CO" w:eastAsia="en-US"/>
              </w:rPr>
              <w:t>79</w:t>
            </w:r>
            <w:r w:rsidR="00890AD3" w:rsidRPr="009245D1">
              <w:rPr>
                <w:rFonts w:ascii="Verdana" w:eastAsiaTheme="minorHAnsi" w:hAnsi="Verdana" w:cs="Arial"/>
                <w:sz w:val="20"/>
                <w:szCs w:val="20"/>
                <w:lang w:val="es-CO" w:eastAsia="en-US"/>
              </w:rPr>
              <w:t xml:space="preserve">%; </w:t>
            </w:r>
            <w:r w:rsidRPr="009245D1">
              <w:rPr>
                <w:rFonts w:ascii="Verdana" w:eastAsiaTheme="minorHAnsi" w:hAnsi="Verdana" w:cs="Arial"/>
                <w:sz w:val="20"/>
                <w:szCs w:val="20"/>
                <w:lang w:val="es-CO" w:eastAsia="en-US"/>
              </w:rPr>
              <w:t>5</w:t>
            </w:r>
            <w:r w:rsidR="00890AD3" w:rsidRPr="009245D1">
              <w:rPr>
                <w:rFonts w:ascii="Verdana" w:eastAsiaTheme="minorHAnsi" w:hAnsi="Verdana" w:cs="Arial"/>
                <w:sz w:val="20"/>
                <w:szCs w:val="20"/>
                <w:lang w:val="es-CO" w:eastAsia="en-US"/>
              </w:rPr>
              <w:t xml:space="preserve">) Servicios financieros y servicios conexos, servicios inmobiliarios y servicios de leasing con el </w:t>
            </w:r>
            <w:r w:rsidR="0097517B" w:rsidRPr="009245D1">
              <w:rPr>
                <w:rFonts w:ascii="Verdana" w:eastAsiaTheme="minorHAnsi" w:hAnsi="Verdana" w:cs="Arial"/>
                <w:sz w:val="20"/>
                <w:szCs w:val="20"/>
                <w:lang w:val="es-CO" w:eastAsia="en-US"/>
              </w:rPr>
              <w:t>51</w:t>
            </w:r>
            <w:r w:rsidR="00552C27" w:rsidRPr="009245D1">
              <w:rPr>
                <w:rFonts w:ascii="Verdana" w:eastAsiaTheme="minorHAnsi" w:hAnsi="Verdana" w:cs="Arial"/>
                <w:sz w:val="20"/>
                <w:szCs w:val="20"/>
                <w:lang w:val="es-CO" w:eastAsia="en-US"/>
              </w:rPr>
              <w:t>,</w:t>
            </w:r>
            <w:r w:rsidR="00C2687F">
              <w:rPr>
                <w:rFonts w:ascii="Verdana" w:eastAsiaTheme="minorHAnsi" w:hAnsi="Verdana" w:cs="Arial"/>
                <w:sz w:val="20"/>
                <w:szCs w:val="20"/>
                <w:lang w:val="es-CO" w:eastAsia="en-US"/>
              </w:rPr>
              <w:t>06</w:t>
            </w:r>
            <w:r w:rsidR="00890AD3" w:rsidRPr="009245D1">
              <w:rPr>
                <w:rFonts w:ascii="Verdana" w:eastAsiaTheme="minorHAnsi" w:hAnsi="Verdana" w:cs="Arial"/>
                <w:sz w:val="20"/>
                <w:szCs w:val="20"/>
                <w:lang w:val="es-CO" w:eastAsia="en-US"/>
              </w:rPr>
              <w:t xml:space="preserve">%; </w:t>
            </w:r>
            <w:r w:rsidRPr="009245D1">
              <w:rPr>
                <w:rFonts w:ascii="Verdana" w:eastAsiaTheme="minorHAnsi" w:hAnsi="Verdana" w:cs="Arial"/>
                <w:sz w:val="20"/>
                <w:szCs w:val="20"/>
                <w:lang w:val="es-CO" w:eastAsia="en-US"/>
              </w:rPr>
              <w:t>6</w:t>
            </w:r>
            <w:r w:rsidR="00890AD3" w:rsidRPr="009245D1">
              <w:rPr>
                <w:rFonts w:ascii="Verdana" w:eastAsiaTheme="minorHAnsi" w:hAnsi="Verdana" w:cs="Arial"/>
                <w:sz w:val="20"/>
                <w:szCs w:val="20"/>
                <w:lang w:val="es-CO" w:eastAsia="en-US"/>
              </w:rPr>
              <w:t xml:space="preserve">) Servicios prestados a las empresas y servicios de producción con el </w:t>
            </w:r>
            <w:r w:rsidR="0097517B" w:rsidRPr="009245D1">
              <w:rPr>
                <w:rFonts w:ascii="Verdana" w:eastAsiaTheme="minorHAnsi" w:hAnsi="Verdana" w:cs="Arial"/>
                <w:sz w:val="20"/>
                <w:szCs w:val="20"/>
                <w:lang w:val="es-CO" w:eastAsia="en-US"/>
              </w:rPr>
              <w:t>34,</w:t>
            </w:r>
            <w:r w:rsidR="00C2687F">
              <w:rPr>
                <w:rFonts w:ascii="Verdana" w:eastAsiaTheme="minorHAnsi" w:hAnsi="Verdana" w:cs="Arial"/>
                <w:sz w:val="20"/>
                <w:szCs w:val="20"/>
                <w:lang w:val="es-CO" w:eastAsia="en-US"/>
              </w:rPr>
              <w:t>53</w:t>
            </w:r>
            <w:r w:rsidRPr="009245D1">
              <w:rPr>
                <w:rFonts w:ascii="Verdana" w:eastAsiaTheme="minorHAnsi" w:hAnsi="Verdana" w:cs="Arial"/>
                <w:sz w:val="20"/>
                <w:szCs w:val="20"/>
                <w:lang w:val="es-CO" w:eastAsia="en-US"/>
              </w:rPr>
              <w:t>%;7</w:t>
            </w:r>
            <w:r w:rsidR="00890AD3" w:rsidRPr="009245D1">
              <w:rPr>
                <w:rFonts w:ascii="Verdana" w:eastAsiaTheme="minorHAnsi" w:hAnsi="Verdana" w:cs="Arial"/>
                <w:sz w:val="20"/>
                <w:szCs w:val="20"/>
                <w:lang w:val="es-CO" w:eastAsia="en-US"/>
              </w:rPr>
              <w:t>) Servicios para la comunidad, sociales y personales con el 0,</w:t>
            </w:r>
            <w:r w:rsidR="0097517B" w:rsidRPr="009245D1">
              <w:rPr>
                <w:rFonts w:ascii="Verdana" w:eastAsiaTheme="minorHAnsi" w:hAnsi="Verdana" w:cs="Arial"/>
                <w:sz w:val="20"/>
                <w:szCs w:val="20"/>
                <w:lang w:val="es-CO" w:eastAsia="en-US"/>
              </w:rPr>
              <w:t>9</w:t>
            </w:r>
            <w:r w:rsidR="00C2687F">
              <w:rPr>
                <w:rFonts w:ascii="Verdana" w:eastAsiaTheme="minorHAnsi" w:hAnsi="Verdana" w:cs="Arial"/>
                <w:sz w:val="20"/>
                <w:szCs w:val="20"/>
                <w:lang w:val="es-CO" w:eastAsia="en-US"/>
              </w:rPr>
              <w:t>7</w:t>
            </w:r>
            <w:r w:rsidRPr="009245D1">
              <w:rPr>
                <w:rFonts w:ascii="Verdana" w:eastAsiaTheme="minorHAnsi" w:hAnsi="Verdana" w:cs="Arial"/>
                <w:sz w:val="20"/>
                <w:szCs w:val="20"/>
                <w:lang w:val="es-CO" w:eastAsia="en-US"/>
              </w:rPr>
              <w:t>%;8</w:t>
            </w:r>
            <w:r w:rsidR="00890AD3" w:rsidRPr="009245D1">
              <w:rPr>
                <w:rFonts w:ascii="Verdana" w:eastAsiaTheme="minorHAnsi" w:hAnsi="Verdana" w:cs="Arial"/>
                <w:sz w:val="20"/>
                <w:szCs w:val="20"/>
                <w:lang w:val="es-CO" w:eastAsia="en-US"/>
              </w:rPr>
              <w:t xml:space="preserve">) viáticos de los funcionarios en comisión con el </w:t>
            </w:r>
            <w:r w:rsidRPr="009245D1">
              <w:rPr>
                <w:rFonts w:ascii="Verdana" w:eastAsiaTheme="minorHAnsi" w:hAnsi="Verdana" w:cs="Arial"/>
                <w:sz w:val="20"/>
                <w:szCs w:val="20"/>
                <w:lang w:val="es-CO" w:eastAsia="en-US"/>
              </w:rPr>
              <w:t>3</w:t>
            </w:r>
            <w:r w:rsidR="0097517B" w:rsidRPr="009245D1">
              <w:rPr>
                <w:rFonts w:ascii="Verdana" w:eastAsiaTheme="minorHAnsi" w:hAnsi="Verdana" w:cs="Arial"/>
                <w:sz w:val="20"/>
                <w:szCs w:val="20"/>
                <w:lang w:val="es-CO" w:eastAsia="en-US"/>
              </w:rPr>
              <w:t>,</w:t>
            </w:r>
            <w:r w:rsidR="00C2687F">
              <w:rPr>
                <w:rFonts w:ascii="Verdana" w:eastAsiaTheme="minorHAnsi" w:hAnsi="Verdana" w:cs="Arial"/>
                <w:sz w:val="20"/>
                <w:szCs w:val="20"/>
                <w:lang w:val="es-CO" w:eastAsia="en-US"/>
              </w:rPr>
              <w:t>44</w:t>
            </w:r>
            <w:r w:rsidR="00890AD3" w:rsidRPr="009245D1">
              <w:rPr>
                <w:rFonts w:ascii="Verdana" w:eastAsiaTheme="minorHAnsi" w:hAnsi="Verdana" w:cs="Arial"/>
                <w:sz w:val="20"/>
                <w:szCs w:val="20"/>
                <w:lang w:val="es-CO" w:eastAsia="en-US"/>
              </w:rPr>
              <w:t>%.</w:t>
            </w:r>
          </w:p>
          <w:p w:rsidR="00890AD3" w:rsidRPr="009245D1" w:rsidRDefault="00890AD3" w:rsidP="00890AD3">
            <w:pPr>
              <w:pStyle w:val="Prrafodelista"/>
              <w:jc w:val="both"/>
              <w:rPr>
                <w:rFonts w:ascii="Verdana" w:eastAsiaTheme="minorHAnsi" w:hAnsi="Verdana" w:cs="Arial"/>
                <w:sz w:val="20"/>
                <w:szCs w:val="20"/>
                <w:lang w:val="es-CO" w:eastAsia="en-US"/>
              </w:rPr>
            </w:pPr>
          </w:p>
          <w:p w:rsidR="00123DEA" w:rsidRPr="009245D1" w:rsidRDefault="00123DEA" w:rsidP="00693615">
            <w:pPr>
              <w:jc w:val="both"/>
              <w:rPr>
                <w:rFonts w:ascii="Verdana" w:eastAsiaTheme="minorHAnsi" w:hAnsi="Verdana" w:cs="Arial"/>
                <w:sz w:val="20"/>
                <w:szCs w:val="20"/>
                <w:lang w:val="es-CO" w:eastAsia="en-US"/>
              </w:rPr>
            </w:pPr>
          </w:p>
        </w:tc>
      </w:tr>
    </w:tbl>
    <w:p w:rsidR="00873972" w:rsidRPr="00445E9A" w:rsidRDefault="00873972" w:rsidP="00B41CB3">
      <w:pPr>
        <w:rPr>
          <w:rFonts w:ascii="Verdana" w:hAnsi="Verdana"/>
          <w:b/>
          <w:sz w:val="20"/>
          <w:szCs w:val="20"/>
        </w:rPr>
      </w:pPr>
    </w:p>
    <w:p w:rsidR="003E138E" w:rsidRDefault="003E138E" w:rsidP="00B41CB3">
      <w:pPr>
        <w:rPr>
          <w:rFonts w:ascii="Verdana" w:hAnsi="Verdana"/>
          <w:b/>
          <w:sz w:val="22"/>
          <w:szCs w:val="20"/>
        </w:rPr>
      </w:pPr>
    </w:p>
    <w:p w:rsidR="003E138E" w:rsidRDefault="003E138E" w:rsidP="00B41CB3">
      <w:pPr>
        <w:rPr>
          <w:rFonts w:ascii="Verdana" w:hAnsi="Verdana"/>
          <w:b/>
          <w:sz w:val="22"/>
          <w:szCs w:val="20"/>
        </w:rPr>
      </w:pPr>
    </w:p>
    <w:p w:rsidR="00873972" w:rsidRPr="00470875" w:rsidRDefault="00873972" w:rsidP="00B41CB3">
      <w:pPr>
        <w:rPr>
          <w:rFonts w:ascii="Verdana" w:hAnsi="Verdana"/>
          <w:b/>
          <w:sz w:val="22"/>
          <w:szCs w:val="20"/>
        </w:rPr>
      </w:pPr>
      <w:r w:rsidRPr="00445E9A">
        <w:rPr>
          <w:rFonts w:ascii="Verdana" w:hAnsi="Verdana"/>
          <w:b/>
          <w:sz w:val="22"/>
          <w:szCs w:val="20"/>
        </w:rPr>
        <w:t>Transferencias Corrientes</w:t>
      </w: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470875" w:rsidRDefault="003F2322" w:rsidP="00B41CB3">
            <w:pPr>
              <w:jc w:val="center"/>
              <w:rPr>
                <w:rFonts w:ascii="Verdana" w:hAnsi="Verdana"/>
                <w:b/>
                <w:sz w:val="22"/>
                <w:szCs w:val="20"/>
              </w:rPr>
            </w:pPr>
            <w:r w:rsidRPr="00470875">
              <w:rPr>
                <w:rFonts w:ascii="Verdana" w:hAnsi="Verdana"/>
                <w:b/>
                <w:sz w:val="22"/>
                <w:szCs w:val="20"/>
              </w:rPr>
              <w:t>Compromisos</w:t>
            </w:r>
          </w:p>
        </w:tc>
        <w:tc>
          <w:tcPr>
            <w:tcW w:w="6640" w:type="dxa"/>
          </w:tcPr>
          <w:p w:rsidR="003F2322" w:rsidRPr="00470875" w:rsidRDefault="003F2322" w:rsidP="00B41CB3">
            <w:pPr>
              <w:jc w:val="center"/>
              <w:rPr>
                <w:rFonts w:ascii="Verdana" w:hAnsi="Verdana"/>
                <w:b/>
                <w:sz w:val="22"/>
                <w:szCs w:val="20"/>
              </w:rPr>
            </w:pPr>
            <w:r w:rsidRPr="006E5A8B">
              <w:rPr>
                <w:rFonts w:ascii="Verdana" w:hAnsi="Verdana"/>
                <w:b/>
                <w:sz w:val="22"/>
                <w:szCs w:val="20"/>
              </w:rPr>
              <w:t>Obligaciones</w:t>
            </w:r>
          </w:p>
        </w:tc>
      </w:tr>
      <w:tr w:rsidR="00873972" w:rsidRPr="003A4A1F" w:rsidTr="003F2322">
        <w:tc>
          <w:tcPr>
            <w:tcW w:w="6638" w:type="dxa"/>
            <w:vAlign w:val="center"/>
          </w:tcPr>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Ejecución Compromisos / Apropiación Vigente.</w:t>
            </w:r>
          </w:p>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w:t>
            </w:r>
            <w:r w:rsidR="00F16A9E">
              <w:rPr>
                <w:rFonts w:ascii="Verdana" w:eastAsia="Times New Roman" w:hAnsi="Verdana" w:cs="Times New Roman"/>
                <w:sz w:val="20"/>
                <w:szCs w:val="20"/>
              </w:rPr>
              <w:t>8.345,7</w:t>
            </w:r>
            <w:r w:rsidR="00B539D7">
              <w:rPr>
                <w:rFonts w:ascii="Verdana" w:eastAsia="Times New Roman" w:hAnsi="Verdana" w:cs="Times New Roman"/>
                <w:sz w:val="20"/>
                <w:szCs w:val="20"/>
              </w:rPr>
              <w:t xml:space="preserve"> </w:t>
            </w:r>
            <w:r w:rsidRPr="00470875">
              <w:rPr>
                <w:rFonts w:ascii="Verdana" w:eastAsia="Times New Roman" w:hAnsi="Verdana" w:cs="Times New Roman"/>
                <w:sz w:val="20"/>
                <w:szCs w:val="20"/>
              </w:rPr>
              <w:t>/</w:t>
            </w:r>
            <w:r w:rsidR="00A7534B" w:rsidRPr="00470875">
              <w:rPr>
                <w:rFonts w:ascii="Verdana" w:eastAsia="Times New Roman" w:hAnsi="Verdana" w:cs="Times New Roman"/>
                <w:sz w:val="20"/>
                <w:szCs w:val="20"/>
              </w:rPr>
              <w:t xml:space="preserve"> 14.964,0 </w:t>
            </w:r>
            <w:r w:rsidRPr="00470875">
              <w:rPr>
                <w:rFonts w:ascii="Verdana" w:eastAsia="Times New Roman" w:hAnsi="Verdana" w:cs="Times New Roman"/>
                <w:sz w:val="20"/>
                <w:szCs w:val="20"/>
              </w:rPr>
              <w:t xml:space="preserve">= </w:t>
            </w:r>
            <w:r w:rsidR="00F16A9E">
              <w:rPr>
                <w:rFonts w:ascii="Verdana" w:eastAsia="Times New Roman" w:hAnsi="Verdana" w:cs="Times New Roman"/>
                <w:sz w:val="20"/>
                <w:szCs w:val="20"/>
              </w:rPr>
              <w:t>55,77</w:t>
            </w:r>
            <w:r w:rsidRPr="00470875">
              <w:rPr>
                <w:rFonts w:ascii="Verdana" w:eastAsia="Times New Roman" w:hAnsi="Verdana" w:cs="Times New Roman"/>
                <w:sz w:val="20"/>
                <w:szCs w:val="20"/>
              </w:rPr>
              <w:t>%.</w:t>
            </w:r>
          </w:p>
          <w:p w:rsidR="00265D9B" w:rsidRPr="00470875" w:rsidRDefault="00265D9B" w:rsidP="00265D9B">
            <w:pPr>
              <w:jc w:val="both"/>
              <w:rPr>
                <w:rFonts w:ascii="Verdana" w:eastAsia="Times New Roman" w:hAnsi="Verdana" w:cs="Times New Roman"/>
                <w:sz w:val="20"/>
                <w:szCs w:val="20"/>
              </w:rPr>
            </w:pPr>
          </w:p>
          <w:p w:rsidR="003C58A7" w:rsidRPr="00B539D7" w:rsidRDefault="00265D9B" w:rsidP="00F16A9E">
            <w:pPr>
              <w:jc w:val="both"/>
              <w:rPr>
                <w:rFonts w:ascii="Verdana" w:hAnsi="Verdana"/>
                <w:iCs/>
                <w:sz w:val="20"/>
                <w:szCs w:val="20"/>
                <w:lang w:val="es-ES"/>
              </w:rPr>
            </w:pPr>
            <w:r w:rsidRPr="00B539D7">
              <w:rPr>
                <w:rFonts w:ascii="Verdana" w:eastAsia="Times New Roman" w:hAnsi="Verdana" w:cs="Times New Roman"/>
                <w:sz w:val="20"/>
                <w:szCs w:val="20"/>
              </w:rPr>
              <w:t xml:space="preserve">Se </w:t>
            </w:r>
            <w:r w:rsidR="00FF77F9" w:rsidRPr="00B539D7">
              <w:rPr>
                <w:rFonts w:ascii="Verdana" w:eastAsia="Times New Roman" w:hAnsi="Verdana" w:cs="Times New Roman"/>
                <w:sz w:val="20"/>
                <w:szCs w:val="20"/>
              </w:rPr>
              <w:t>ejecutaron</w:t>
            </w:r>
            <w:r w:rsidRPr="00B539D7">
              <w:rPr>
                <w:rFonts w:ascii="Verdana" w:eastAsia="Times New Roman" w:hAnsi="Verdana" w:cs="Times New Roman"/>
                <w:sz w:val="20"/>
                <w:szCs w:val="20"/>
              </w:rPr>
              <w:t xml:space="preserve"> recursos por valor de </w:t>
            </w:r>
            <w:r w:rsidR="00F16A9E">
              <w:rPr>
                <w:rFonts w:ascii="Verdana" w:eastAsia="Times New Roman" w:hAnsi="Verdana" w:cs="Times New Roman"/>
                <w:sz w:val="20"/>
                <w:szCs w:val="20"/>
              </w:rPr>
              <w:t>8.345,7</w:t>
            </w:r>
            <w:r w:rsidR="00771EB0" w:rsidRPr="00B539D7">
              <w:rPr>
                <w:rFonts w:ascii="Verdana" w:eastAsia="Times New Roman" w:hAnsi="Verdana" w:cs="Times New Roman"/>
                <w:sz w:val="20"/>
                <w:szCs w:val="20"/>
              </w:rPr>
              <w:t xml:space="preserve"> millones equivalentes al </w:t>
            </w:r>
            <w:r w:rsidR="00F16A9E">
              <w:rPr>
                <w:rFonts w:ascii="Verdana" w:eastAsia="Times New Roman" w:hAnsi="Verdana" w:cs="Times New Roman"/>
                <w:sz w:val="20"/>
                <w:szCs w:val="20"/>
              </w:rPr>
              <w:t>55</w:t>
            </w:r>
            <w:r w:rsidR="001F41E7">
              <w:rPr>
                <w:rFonts w:ascii="Verdana" w:eastAsia="Times New Roman" w:hAnsi="Verdana" w:cs="Times New Roman"/>
                <w:sz w:val="20"/>
                <w:szCs w:val="20"/>
              </w:rPr>
              <w:t>,</w:t>
            </w:r>
            <w:r w:rsidR="00F16A9E">
              <w:rPr>
                <w:rFonts w:ascii="Verdana" w:eastAsia="Times New Roman" w:hAnsi="Verdana" w:cs="Times New Roman"/>
                <w:sz w:val="20"/>
                <w:szCs w:val="20"/>
              </w:rPr>
              <w:t>77</w:t>
            </w:r>
            <w:r w:rsidRPr="00B539D7">
              <w:rPr>
                <w:rFonts w:ascii="Verdana" w:eastAsia="Times New Roman" w:hAnsi="Verdana" w:cs="Times New Roman"/>
                <w:sz w:val="20"/>
                <w:szCs w:val="20"/>
              </w:rPr>
              <w:t>% de la apropiac</w:t>
            </w:r>
            <w:r w:rsidR="00FF77F9" w:rsidRPr="00B539D7">
              <w:rPr>
                <w:rFonts w:ascii="Verdana" w:eastAsia="Times New Roman" w:hAnsi="Verdana" w:cs="Times New Roman"/>
                <w:sz w:val="20"/>
                <w:szCs w:val="20"/>
              </w:rPr>
              <w:t>ión</w:t>
            </w:r>
            <w:r w:rsidR="004E4823">
              <w:rPr>
                <w:rFonts w:ascii="Verdana" w:eastAsia="Times New Roman" w:hAnsi="Verdana" w:cs="Times New Roman"/>
                <w:sz w:val="20"/>
                <w:szCs w:val="20"/>
              </w:rPr>
              <w:t xml:space="preserve"> de transferencias corrientes</w:t>
            </w:r>
            <w:r w:rsidR="00FF77F9" w:rsidRPr="00B539D7">
              <w:rPr>
                <w:rFonts w:ascii="Verdana" w:eastAsia="Times New Roman" w:hAnsi="Verdana" w:cs="Times New Roman"/>
                <w:sz w:val="20"/>
                <w:szCs w:val="20"/>
              </w:rPr>
              <w:t xml:space="preserve">, frente a una meta del </w:t>
            </w:r>
            <w:r w:rsidR="00F16A9E">
              <w:rPr>
                <w:rFonts w:ascii="Verdana" w:eastAsia="Times New Roman" w:hAnsi="Verdana" w:cs="Times New Roman"/>
                <w:sz w:val="20"/>
                <w:szCs w:val="20"/>
              </w:rPr>
              <w:t>48</w:t>
            </w:r>
            <w:r w:rsidR="001F41E7">
              <w:rPr>
                <w:rFonts w:ascii="Verdana" w:eastAsia="Times New Roman" w:hAnsi="Verdana" w:cs="Times New Roman"/>
                <w:sz w:val="20"/>
                <w:szCs w:val="20"/>
              </w:rPr>
              <w:t>,</w:t>
            </w:r>
            <w:r w:rsidR="00F16A9E">
              <w:rPr>
                <w:rFonts w:ascii="Verdana" w:eastAsia="Times New Roman" w:hAnsi="Verdana" w:cs="Times New Roman"/>
                <w:sz w:val="20"/>
                <w:szCs w:val="20"/>
              </w:rPr>
              <w:t>97</w:t>
            </w:r>
            <w:r w:rsidR="0016603E" w:rsidRPr="00B539D7">
              <w:rPr>
                <w:rFonts w:ascii="Verdana" w:eastAsia="Times New Roman" w:hAnsi="Verdana" w:cs="Times New Roman"/>
                <w:sz w:val="20"/>
                <w:szCs w:val="20"/>
              </w:rPr>
              <w:t xml:space="preserve">%, </w:t>
            </w:r>
            <w:r w:rsidR="006C7CCE">
              <w:rPr>
                <w:rFonts w:ascii="Verdana" w:eastAsia="Times New Roman" w:hAnsi="Verdana" w:cs="Times New Roman"/>
                <w:sz w:val="20"/>
                <w:szCs w:val="20"/>
              </w:rPr>
              <w:t>generando</w:t>
            </w:r>
            <w:r w:rsidR="00B539D7">
              <w:rPr>
                <w:rFonts w:ascii="Verdana" w:eastAsia="Times New Roman" w:hAnsi="Verdana" w:cs="Times New Roman"/>
                <w:sz w:val="20"/>
                <w:szCs w:val="20"/>
              </w:rPr>
              <w:t xml:space="preserve"> </w:t>
            </w:r>
            <w:r w:rsidR="003E138E" w:rsidRPr="009C75C1">
              <w:rPr>
                <w:rFonts w:ascii="Verdana" w:hAnsi="Verdana" w:cs="Arial"/>
                <w:sz w:val="20"/>
                <w:szCs w:val="20"/>
              </w:rPr>
              <w:t xml:space="preserve">Superávit  en la ejecución de transferencias corrientes por </w:t>
            </w:r>
            <w:r w:rsidR="001F41E7">
              <w:rPr>
                <w:rFonts w:ascii="Verdana" w:hAnsi="Verdana" w:cs="Arial"/>
                <w:sz w:val="20"/>
                <w:szCs w:val="20"/>
              </w:rPr>
              <w:t>4.260,0</w:t>
            </w:r>
            <w:r w:rsidR="003E138E" w:rsidRPr="009C75C1">
              <w:rPr>
                <w:rFonts w:ascii="Verdana" w:hAnsi="Verdana" w:cs="Arial"/>
                <w:sz w:val="20"/>
                <w:szCs w:val="20"/>
              </w:rPr>
              <w:t xml:space="preserve"> millones, discriminado así:</w:t>
            </w:r>
            <w:r w:rsidR="001F41E7" w:rsidRPr="009C75C1">
              <w:rPr>
                <w:rFonts w:ascii="Verdana" w:hAnsi="Verdana" w:cs="Arial"/>
                <w:sz w:val="20"/>
                <w:szCs w:val="20"/>
              </w:rPr>
              <w:t xml:space="preserve"> i) </w:t>
            </w:r>
            <w:r w:rsidR="001F41E7">
              <w:rPr>
                <w:rFonts w:ascii="Verdana" w:hAnsi="Verdana" w:cs="Arial"/>
                <w:sz w:val="20"/>
                <w:szCs w:val="20"/>
              </w:rPr>
              <w:t>S</w:t>
            </w:r>
            <w:r w:rsidR="001F41E7" w:rsidRPr="0049603A">
              <w:rPr>
                <w:rFonts w:ascii="Verdana" w:hAnsi="Verdana" w:cs="Arial"/>
                <w:sz w:val="20"/>
                <w:szCs w:val="20"/>
              </w:rPr>
              <w:t xml:space="preserve">uperávit de </w:t>
            </w:r>
            <w:r w:rsidR="001F41E7">
              <w:rPr>
                <w:rFonts w:ascii="Verdana" w:hAnsi="Verdana" w:cs="Arial"/>
                <w:sz w:val="20"/>
                <w:szCs w:val="20"/>
              </w:rPr>
              <w:t>4.260,1</w:t>
            </w:r>
            <w:r w:rsidR="001F41E7" w:rsidRPr="0049603A">
              <w:rPr>
                <w:rFonts w:ascii="Verdana" w:hAnsi="Verdana" w:cs="Arial"/>
                <w:sz w:val="20"/>
                <w:szCs w:val="20"/>
              </w:rPr>
              <w:t xml:space="preserve"> millones de recursos provenientes del FOCAI, </w:t>
            </w:r>
            <w:r w:rsidR="001F41E7">
              <w:rPr>
                <w:rFonts w:ascii="Verdana" w:hAnsi="Verdana" w:cs="Arial"/>
                <w:sz w:val="20"/>
                <w:szCs w:val="20"/>
              </w:rPr>
              <w:t>debido que se suscribió el contrato de p</w:t>
            </w:r>
            <w:r w:rsidR="001F41E7" w:rsidRPr="00274D3C">
              <w:rPr>
                <w:rFonts w:ascii="Verdana" w:hAnsi="Verdana" w:cs="Arial"/>
                <w:sz w:val="20"/>
                <w:szCs w:val="20"/>
              </w:rPr>
              <w:t>restación de servicios para el fortalecimiento de capacidades en técnicas agropecuarias a campesinos de algunos países del Proyecto Mesoamérica</w:t>
            </w:r>
            <w:r w:rsidR="001F41E7">
              <w:rPr>
                <w:rFonts w:ascii="Verdana" w:hAnsi="Verdana" w:cs="Arial"/>
                <w:sz w:val="20"/>
                <w:szCs w:val="20"/>
              </w:rPr>
              <w:t xml:space="preserve"> con FUNDAPANACA, y el contrato con ALGOAP SAS para </w:t>
            </w:r>
            <w:r w:rsidR="001F41E7" w:rsidRPr="00274D3C">
              <w:rPr>
                <w:rFonts w:ascii="Verdana" w:hAnsi="Verdana" w:cs="Arial"/>
                <w:sz w:val="20"/>
                <w:szCs w:val="20"/>
              </w:rPr>
              <w:t>servicios de traducción e interpretación simultánea, consecutiva, susurrada y de documentos</w:t>
            </w:r>
            <w:r w:rsidR="001F41E7">
              <w:rPr>
                <w:rFonts w:ascii="Verdana" w:hAnsi="Verdana" w:cs="Arial"/>
                <w:sz w:val="20"/>
                <w:szCs w:val="20"/>
              </w:rPr>
              <w:t xml:space="preserve"> y se realizó una asistencia humanitaria con destino al Gobierno de La Republica de Honduras, </w:t>
            </w:r>
            <w:r w:rsidR="001F41E7" w:rsidRPr="00007EA0">
              <w:rPr>
                <w:rFonts w:ascii="Verdana" w:hAnsi="Verdana" w:cs="Arial"/>
                <w:sz w:val="20"/>
                <w:szCs w:val="20"/>
              </w:rPr>
              <w:t xml:space="preserve"> </w:t>
            </w:r>
            <w:r w:rsidR="001F41E7">
              <w:rPr>
                <w:rFonts w:ascii="Verdana" w:hAnsi="Verdana" w:cs="Arial"/>
                <w:sz w:val="20"/>
                <w:szCs w:val="20"/>
              </w:rPr>
              <w:t xml:space="preserve">se </w:t>
            </w:r>
            <w:r w:rsidR="001F41E7" w:rsidRPr="0049603A">
              <w:rPr>
                <w:rFonts w:ascii="Verdana" w:hAnsi="Verdana" w:cs="Arial"/>
                <w:sz w:val="20"/>
                <w:szCs w:val="20"/>
              </w:rPr>
              <w:t xml:space="preserve">cumplió la meta; ii) </w:t>
            </w:r>
            <w:r w:rsidR="001F41E7">
              <w:rPr>
                <w:rFonts w:ascii="Verdana" w:hAnsi="Verdana" w:cs="Arial"/>
                <w:sz w:val="20"/>
                <w:szCs w:val="20"/>
              </w:rPr>
              <w:t>se presentó déficit de 100 mil pesos</w:t>
            </w:r>
            <w:r w:rsidR="001F41E7" w:rsidRPr="0049603A">
              <w:rPr>
                <w:rFonts w:ascii="Verdana" w:hAnsi="Verdana" w:cs="Arial"/>
                <w:sz w:val="20"/>
                <w:szCs w:val="20"/>
              </w:rPr>
              <w:t xml:space="preserve">, </w:t>
            </w:r>
            <w:r w:rsidR="001F41E7">
              <w:rPr>
                <w:rFonts w:ascii="Verdana" w:hAnsi="Verdana" w:cs="Arial"/>
                <w:sz w:val="20"/>
                <w:szCs w:val="20"/>
              </w:rPr>
              <w:t>en incapacidades y licencias de maternidad este rubro varía según las incapacidades y licencias que radican el talento humano</w:t>
            </w:r>
            <w:r w:rsidR="001F41E7">
              <w:rPr>
                <w:rFonts w:ascii="Verdana" w:hAnsi="Verdana" w:cs="Arial"/>
                <w:b/>
                <w:sz w:val="20"/>
                <w:szCs w:val="20"/>
              </w:rPr>
              <w:t>.</w:t>
            </w:r>
          </w:p>
        </w:tc>
        <w:tc>
          <w:tcPr>
            <w:tcW w:w="6640" w:type="dxa"/>
            <w:vAlign w:val="center"/>
          </w:tcPr>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Ejecución Obligaciones / Apropiación Vigente.</w:t>
            </w:r>
          </w:p>
          <w:p w:rsidR="00265D9B" w:rsidRPr="00470875" w:rsidRDefault="00265D9B" w:rsidP="00265D9B">
            <w:pPr>
              <w:jc w:val="both"/>
              <w:rPr>
                <w:rFonts w:ascii="Verdana" w:eastAsia="Times New Roman" w:hAnsi="Verdana" w:cs="Times New Roman"/>
                <w:sz w:val="20"/>
                <w:szCs w:val="20"/>
              </w:rPr>
            </w:pPr>
            <w:r w:rsidRPr="00470875">
              <w:rPr>
                <w:rFonts w:ascii="Verdana" w:eastAsia="Times New Roman" w:hAnsi="Verdana" w:cs="Times New Roman"/>
                <w:b/>
                <w:sz w:val="20"/>
                <w:szCs w:val="20"/>
              </w:rPr>
              <w:t>Indicador:</w:t>
            </w:r>
            <w:r w:rsidRPr="00470875">
              <w:rPr>
                <w:rFonts w:ascii="Verdana" w:eastAsia="Times New Roman" w:hAnsi="Verdana" w:cs="Times New Roman"/>
                <w:sz w:val="20"/>
                <w:szCs w:val="20"/>
              </w:rPr>
              <w:t xml:space="preserve"> </w:t>
            </w:r>
            <w:r w:rsidR="00F16A9E">
              <w:rPr>
                <w:rFonts w:ascii="Verdana" w:eastAsia="Times New Roman" w:hAnsi="Verdana" w:cs="Times New Roman"/>
                <w:sz w:val="20"/>
                <w:szCs w:val="20"/>
              </w:rPr>
              <w:t>4.865,7</w:t>
            </w:r>
            <w:r w:rsidR="00B539D7">
              <w:rPr>
                <w:rFonts w:ascii="Verdana" w:eastAsia="Times New Roman" w:hAnsi="Verdana" w:cs="Times New Roman"/>
                <w:sz w:val="20"/>
                <w:szCs w:val="20"/>
              </w:rPr>
              <w:t xml:space="preserve"> </w:t>
            </w:r>
            <w:r w:rsidRPr="00470875">
              <w:rPr>
                <w:rFonts w:ascii="Verdana" w:eastAsia="Times New Roman" w:hAnsi="Verdana" w:cs="Times New Roman"/>
                <w:sz w:val="20"/>
                <w:szCs w:val="20"/>
              </w:rPr>
              <w:t xml:space="preserve">/ </w:t>
            </w:r>
            <w:r w:rsidR="00A7534B" w:rsidRPr="00470875">
              <w:rPr>
                <w:rFonts w:ascii="Verdana" w:eastAsia="Times New Roman" w:hAnsi="Verdana" w:cs="Times New Roman"/>
                <w:sz w:val="20"/>
                <w:szCs w:val="20"/>
              </w:rPr>
              <w:t xml:space="preserve">14.964,0 </w:t>
            </w:r>
            <w:r w:rsidRPr="00470875">
              <w:rPr>
                <w:rFonts w:ascii="Verdana" w:eastAsia="Times New Roman" w:hAnsi="Verdana" w:cs="Times New Roman"/>
                <w:sz w:val="20"/>
                <w:szCs w:val="20"/>
              </w:rPr>
              <w:t xml:space="preserve">= </w:t>
            </w:r>
            <w:r w:rsidR="00961947">
              <w:rPr>
                <w:rFonts w:ascii="Verdana" w:eastAsia="Times New Roman" w:hAnsi="Verdana" w:cs="Times New Roman"/>
                <w:sz w:val="20"/>
                <w:szCs w:val="20"/>
              </w:rPr>
              <w:t>32,52</w:t>
            </w:r>
            <w:r w:rsidRPr="00470875">
              <w:rPr>
                <w:rFonts w:ascii="Verdana" w:eastAsia="Times New Roman" w:hAnsi="Verdana" w:cs="Times New Roman"/>
                <w:sz w:val="20"/>
                <w:szCs w:val="20"/>
              </w:rPr>
              <w:t>%.</w:t>
            </w:r>
          </w:p>
          <w:p w:rsidR="00265D9B" w:rsidRPr="003A4A1F" w:rsidRDefault="00265D9B" w:rsidP="00265D9B">
            <w:pPr>
              <w:jc w:val="both"/>
              <w:rPr>
                <w:rFonts w:ascii="Verdana" w:eastAsia="Times New Roman" w:hAnsi="Verdana" w:cs="Times New Roman"/>
                <w:sz w:val="20"/>
                <w:szCs w:val="20"/>
                <w:highlight w:val="yellow"/>
              </w:rPr>
            </w:pPr>
          </w:p>
          <w:p w:rsidR="00243D5E" w:rsidRPr="003A4A1F" w:rsidRDefault="009A4921" w:rsidP="00961947">
            <w:pPr>
              <w:jc w:val="both"/>
              <w:rPr>
                <w:rFonts w:ascii="Verdana" w:hAnsi="Verdana"/>
                <w:sz w:val="20"/>
                <w:szCs w:val="20"/>
                <w:highlight w:val="yellow"/>
              </w:rPr>
            </w:pPr>
            <w:r w:rsidRPr="004E4823">
              <w:rPr>
                <w:rFonts w:ascii="Verdana" w:eastAsia="Times New Roman" w:hAnsi="Verdana" w:cs="Times New Roman"/>
                <w:sz w:val="20"/>
                <w:szCs w:val="20"/>
              </w:rPr>
              <w:t>Se presentó</w:t>
            </w:r>
            <w:r w:rsidR="00265D9B" w:rsidRPr="004E4823">
              <w:rPr>
                <w:rFonts w:ascii="Verdana" w:eastAsia="Times New Roman" w:hAnsi="Verdana" w:cs="Times New Roman"/>
                <w:sz w:val="20"/>
                <w:szCs w:val="20"/>
              </w:rPr>
              <w:t xml:space="preserve"> una ejecución de </w:t>
            </w:r>
            <w:r w:rsidR="00961947">
              <w:rPr>
                <w:rFonts w:ascii="Verdana" w:eastAsia="Times New Roman" w:hAnsi="Verdana" w:cs="Times New Roman"/>
                <w:sz w:val="20"/>
                <w:szCs w:val="20"/>
              </w:rPr>
              <w:t>4.865,7</w:t>
            </w:r>
            <w:r w:rsidR="00265D9B" w:rsidRPr="004E4823">
              <w:rPr>
                <w:rFonts w:ascii="Verdana" w:eastAsia="Times New Roman" w:hAnsi="Verdana" w:cs="Times New Roman"/>
                <w:sz w:val="20"/>
                <w:szCs w:val="20"/>
              </w:rPr>
              <w:t xml:space="preserve"> millones equivalen</w:t>
            </w:r>
            <w:r w:rsidR="00041BCF" w:rsidRPr="004E4823">
              <w:rPr>
                <w:rFonts w:ascii="Verdana" w:eastAsia="Times New Roman" w:hAnsi="Verdana" w:cs="Times New Roman"/>
                <w:sz w:val="20"/>
                <w:szCs w:val="20"/>
              </w:rPr>
              <w:t xml:space="preserve">tes al </w:t>
            </w:r>
            <w:r w:rsidR="00961947">
              <w:rPr>
                <w:rFonts w:ascii="Verdana" w:eastAsia="Times New Roman" w:hAnsi="Verdana" w:cs="Times New Roman"/>
                <w:sz w:val="20"/>
                <w:szCs w:val="20"/>
              </w:rPr>
              <w:t>32,52</w:t>
            </w:r>
            <w:r w:rsidR="00265D9B" w:rsidRPr="004E4823">
              <w:rPr>
                <w:rFonts w:ascii="Verdana" w:eastAsia="Times New Roman" w:hAnsi="Verdana" w:cs="Times New Roman"/>
                <w:sz w:val="20"/>
                <w:szCs w:val="20"/>
              </w:rPr>
              <w:t>% de la apropiación</w:t>
            </w:r>
            <w:r w:rsidR="004E4823">
              <w:rPr>
                <w:rFonts w:ascii="Verdana" w:eastAsia="Times New Roman" w:hAnsi="Verdana" w:cs="Times New Roman"/>
                <w:sz w:val="20"/>
                <w:szCs w:val="20"/>
              </w:rPr>
              <w:t xml:space="preserve"> de transferencias corrientes</w:t>
            </w:r>
            <w:r w:rsidR="00041BCF" w:rsidRPr="004E4823">
              <w:rPr>
                <w:rFonts w:ascii="Verdana" w:eastAsia="Times New Roman" w:hAnsi="Verdana" w:cs="Times New Roman"/>
                <w:sz w:val="20"/>
                <w:szCs w:val="20"/>
              </w:rPr>
              <w:t xml:space="preserve">, frente a una meta del </w:t>
            </w:r>
            <w:r w:rsidR="00F16A9E">
              <w:rPr>
                <w:rFonts w:ascii="Verdana" w:eastAsia="Times New Roman" w:hAnsi="Verdana" w:cs="Times New Roman"/>
                <w:sz w:val="20"/>
                <w:szCs w:val="20"/>
              </w:rPr>
              <w:t>25</w:t>
            </w:r>
            <w:r w:rsidR="000E0C0F">
              <w:rPr>
                <w:rFonts w:ascii="Verdana" w:eastAsia="Times New Roman" w:hAnsi="Verdana" w:cs="Times New Roman"/>
                <w:sz w:val="20"/>
                <w:szCs w:val="20"/>
              </w:rPr>
              <w:t>,</w:t>
            </w:r>
            <w:r w:rsidR="00F16A9E">
              <w:rPr>
                <w:rFonts w:ascii="Verdana" w:eastAsia="Times New Roman" w:hAnsi="Verdana" w:cs="Times New Roman"/>
                <w:sz w:val="20"/>
                <w:szCs w:val="20"/>
              </w:rPr>
              <w:t>48</w:t>
            </w:r>
            <w:r w:rsidRPr="004E4823">
              <w:rPr>
                <w:rFonts w:ascii="Verdana" w:eastAsia="Times New Roman" w:hAnsi="Verdana" w:cs="Times New Roman"/>
                <w:sz w:val="20"/>
                <w:szCs w:val="20"/>
              </w:rPr>
              <w:t>%,</w:t>
            </w:r>
            <w:r w:rsidR="00FE4B89">
              <w:rPr>
                <w:rFonts w:ascii="Verdana" w:hAnsi="Verdana" w:cs="Arial"/>
                <w:sz w:val="20"/>
                <w:szCs w:val="20"/>
                <w:lang w:val="es-CO"/>
              </w:rPr>
              <w:t xml:space="preserve"> </w:t>
            </w:r>
            <w:r w:rsidR="009B6D84">
              <w:rPr>
                <w:rFonts w:ascii="Verdana" w:hAnsi="Verdana" w:cs="Arial"/>
                <w:sz w:val="20"/>
                <w:szCs w:val="20"/>
                <w:lang w:val="es-CO"/>
              </w:rPr>
              <w:t>E</w:t>
            </w:r>
            <w:r w:rsidR="009B6D84" w:rsidRPr="00C55089">
              <w:rPr>
                <w:rFonts w:ascii="Verdana" w:hAnsi="Verdana" w:cs="Arial"/>
                <w:sz w:val="20"/>
                <w:szCs w:val="20"/>
                <w:lang w:val="es-CO"/>
              </w:rPr>
              <w:t>n la ejecución de transferencia</w:t>
            </w:r>
            <w:r w:rsidR="009B6D84">
              <w:rPr>
                <w:rFonts w:ascii="Verdana" w:hAnsi="Verdana" w:cs="Arial"/>
                <w:sz w:val="20"/>
                <w:szCs w:val="20"/>
                <w:lang w:val="es-CO"/>
              </w:rPr>
              <w:t xml:space="preserve">s </w:t>
            </w:r>
            <w:r w:rsidR="009B6D84" w:rsidRPr="00C55089">
              <w:rPr>
                <w:rFonts w:ascii="Verdana" w:hAnsi="Verdana" w:cs="Arial"/>
                <w:sz w:val="20"/>
                <w:szCs w:val="20"/>
                <w:lang w:val="es-CO"/>
              </w:rPr>
              <w:t>corrientes</w:t>
            </w:r>
            <w:r w:rsidR="009B6D84">
              <w:rPr>
                <w:rFonts w:ascii="Verdana" w:hAnsi="Verdana" w:cs="Arial"/>
                <w:sz w:val="20"/>
                <w:szCs w:val="20"/>
                <w:lang w:val="es-CO"/>
              </w:rPr>
              <w:t xml:space="preserve"> se presentó un </w:t>
            </w:r>
            <w:r w:rsidR="00961947">
              <w:rPr>
                <w:rFonts w:ascii="Verdana" w:hAnsi="Verdana" w:cs="Arial"/>
                <w:sz w:val="20"/>
                <w:szCs w:val="20"/>
                <w:lang w:val="es-CO"/>
              </w:rPr>
              <w:t xml:space="preserve">superávit por 1.059,1 millones  </w:t>
            </w:r>
            <w:r w:rsidR="00961947" w:rsidRPr="00C55089">
              <w:rPr>
                <w:rFonts w:ascii="Verdana" w:hAnsi="Verdana" w:cs="Arial"/>
                <w:sz w:val="20"/>
                <w:szCs w:val="20"/>
                <w:lang w:val="es-CO"/>
              </w:rPr>
              <w:t xml:space="preserve"> en FOCAI, se cumplió la meta</w:t>
            </w:r>
            <w:r w:rsidR="00961947">
              <w:rPr>
                <w:rFonts w:ascii="Verdana" w:hAnsi="Verdana" w:cs="Arial"/>
                <w:sz w:val="20"/>
                <w:szCs w:val="20"/>
                <w:lang w:val="es-CO"/>
              </w:rPr>
              <w:t>,</w:t>
            </w:r>
            <w:r w:rsidR="00961947" w:rsidRPr="00C55089">
              <w:rPr>
                <w:rFonts w:ascii="Verdana" w:hAnsi="Verdana" w:cs="Arial"/>
                <w:sz w:val="20"/>
                <w:szCs w:val="20"/>
                <w:lang w:val="es-CO"/>
              </w:rPr>
              <w:t xml:space="preserve"> pero </w:t>
            </w:r>
            <w:r w:rsidR="00961947">
              <w:rPr>
                <w:rFonts w:ascii="Verdana" w:hAnsi="Verdana" w:cs="Arial"/>
                <w:sz w:val="20"/>
                <w:szCs w:val="20"/>
                <w:lang w:val="es-CO"/>
              </w:rPr>
              <w:t xml:space="preserve">se </w:t>
            </w:r>
            <w:r w:rsidR="00961947" w:rsidRPr="00C55089">
              <w:rPr>
                <w:rFonts w:ascii="Verdana" w:hAnsi="Verdana" w:cs="Arial"/>
                <w:sz w:val="20"/>
                <w:szCs w:val="20"/>
                <w:lang w:val="es-CO"/>
              </w:rPr>
              <w:t>presenta u</w:t>
            </w:r>
            <w:r w:rsidR="00961947">
              <w:rPr>
                <w:rFonts w:ascii="Verdana" w:hAnsi="Verdana" w:cs="Arial"/>
                <w:sz w:val="20"/>
                <w:szCs w:val="20"/>
                <w:lang w:val="es-CO"/>
              </w:rPr>
              <w:t>n déficit en incapacidades de 6,6 millones</w:t>
            </w:r>
            <w:r w:rsidR="00961947" w:rsidRPr="00C55089">
              <w:rPr>
                <w:rFonts w:ascii="Verdana" w:hAnsi="Verdana" w:cs="Arial"/>
                <w:sz w:val="20"/>
                <w:szCs w:val="20"/>
                <w:lang w:val="es-CO"/>
              </w:rPr>
              <w:t>, debido que este rubro  se afecta cuando  hay novedades de incapacidades radicadas en talento humano.</w:t>
            </w:r>
          </w:p>
        </w:tc>
      </w:tr>
    </w:tbl>
    <w:p w:rsidR="00146E14" w:rsidRDefault="00146E14" w:rsidP="00B41CB3">
      <w:pPr>
        <w:jc w:val="center"/>
        <w:rPr>
          <w:rFonts w:ascii="Verdana" w:hAnsi="Verdana"/>
          <w:b/>
          <w:sz w:val="22"/>
          <w:szCs w:val="20"/>
        </w:rPr>
      </w:pPr>
    </w:p>
    <w:p w:rsidR="0066729B" w:rsidRPr="00396EB5" w:rsidRDefault="0066729B" w:rsidP="00B41CB3">
      <w:pPr>
        <w:jc w:val="center"/>
        <w:rPr>
          <w:rFonts w:ascii="Verdana" w:hAnsi="Verdana"/>
          <w:b/>
          <w:szCs w:val="20"/>
        </w:rPr>
      </w:pPr>
      <w:r w:rsidRPr="00396EB5">
        <w:rPr>
          <w:rFonts w:ascii="Verdana" w:hAnsi="Verdana"/>
          <w:b/>
          <w:szCs w:val="20"/>
        </w:rPr>
        <w:t>Presupuesto de Inversión</w:t>
      </w:r>
    </w:p>
    <w:p w:rsidR="005572D7" w:rsidRPr="004E4823" w:rsidRDefault="005572D7" w:rsidP="00B41CB3">
      <w:pPr>
        <w:jc w:val="center"/>
        <w:rPr>
          <w:rFonts w:ascii="Verdana" w:hAnsi="Verdana"/>
          <w:b/>
          <w:sz w:val="22"/>
          <w:szCs w:val="20"/>
        </w:rPr>
      </w:pPr>
    </w:p>
    <w:tbl>
      <w:tblPr>
        <w:tblStyle w:val="Tablaconcuadrcula"/>
        <w:tblW w:w="0" w:type="auto"/>
        <w:tblLook w:val="04A0" w:firstRow="1" w:lastRow="0" w:firstColumn="1" w:lastColumn="0" w:noHBand="0" w:noVBand="1"/>
      </w:tblPr>
      <w:tblGrid>
        <w:gridCol w:w="6638"/>
        <w:gridCol w:w="6640"/>
      </w:tblGrid>
      <w:tr w:rsidR="003F2322" w:rsidRPr="003A4A1F" w:rsidTr="003F2322">
        <w:tc>
          <w:tcPr>
            <w:tcW w:w="6638" w:type="dxa"/>
          </w:tcPr>
          <w:p w:rsidR="003F2322" w:rsidRPr="004E4823" w:rsidRDefault="003F2322" w:rsidP="00B41CB3">
            <w:pPr>
              <w:jc w:val="center"/>
              <w:rPr>
                <w:rFonts w:ascii="Verdana" w:hAnsi="Verdana"/>
                <w:b/>
                <w:sz w:val="22"/>
                <w:szCs w:val="20"/>
              </w:rPr>
            </w:pPr>
            <w:r w:rsidRPr="004E4823">
              <w:rPr>
                <w:rFonts w:ascii="Verdana" w:hAnsi="Verdana"/>
                <w:b/>
                <w:sz w:val="22"/>
                <w:szCs w:val="20"/>
              </w:rPr>
              <w:t>Compromisos</w:t>
            </w:r>
          </w:p>
        </w:tc>
        <w:tc>
          <w:tcPr>
            <w:tcW w:w="6640" w:type="dxa"/>
          </w:tcPr>
          <w:p w:rsidR="003F2322" w:rsidRPr="00FA79EC" w:rsidRDefault="003F2322" w:rsidP="00B41CB3">
            <w:pPr>
              <w:jc w:val="center"/>
              <w:rPr>
                <w:rFonts w:ascii="Verdana" w:hAnsi="Verdana"/>
                <w:b/>
                <w:sz w:val="22"/>
                <w:szCs w:val="20"/>
              </w:rPr>
            </w:pPr>
            <w:r w:rsidRPr="004B047D">
              <w:rPr>
                <w:rFonts w:ascii="Verdana" w:hAnsi="Verdana"/>
                <w:b/>
                <w:sz w:val="22"/>
                <w:szCs w:val="20"/>
              </w:rPr>
              <w:t>Obligaciones</w:t>
            </w:r>
          </w:p>
        </w:tc>
      </w:tr>
      <w:tr w:rsidR="0066729B" w:rsidRPr="003A4A1F" w:rsidTr="003F2322">
        <w:tc>
          <w:tcPr>
            <w:tcW w:w="6638" w:type="dxa"/>
            <w:vAlign w:val="center"/>
          </w:tcPr>
          <w:p w:rsidR="00265D9B" w:rsidRPr="00FA79EC" w:rsidRDefault="00265D9B" w:rsidP="00265D9B">
            <w:pPr>
              <w:jc w:val="both"/>
              <w:rPr>
                <w:rFonts w:ascii="Verdana" w:hAnsi="Verdana"/>
                <w:sz w:val="20"/>
                <w:szCs w:val="20"/>
              </w:rPr>
            </w:pPr>
            <w:r w:rsidRPr="00FA79EC">
              <w:rPr>
                <w:rFonts w:ascii="Verdana" w:hAnsi="Verdana"/>
                <w:b/>
                <w:sz w:val="20"/>
                <w:szCs w:val="20"/>
              </w:rPr>
              <w:t>Indicador:</w:t>
            </w:r>
            <w:r w:rsidRPr="00FA79EC">
              <w:rPr>
                <w:rFonts w:ascii="Verdana" w:hAnsi="Verdana"/>
                <w:sz w:val="20"/>
                <w:szCs w:val="20"/>
              </w:rPr>
              <w:t xml:space="preserve"> Ejecución Compromisos / Apropiación Vigente.</w:t>
            </w:r>
          </w:p>
          <w:p w:rsidR="00265D9B" w:rsidRPr="00FA79EC" w:rsidRDefault="00265D9B" w:rsidP="00265D9B">
            <w:pPr>
              <w:jc w:val="both"/>
              <w:rPr>
                <w:rFonts w:ascii="Verdana" w:hAnsi="Verdana"/>
                <w:sz w:val="20"/>
                <w:szCs w:val="20"/>
              </w:rPr>
            </w:pPr>
            <w:r w:rsidRPr="00FA79EC">
              <w:rPr>
                <w:rFonts w:ascii="Verdana" w:hAnsi="Verdana"/>
                <w:b/>
                <w:sz w:val="20"/>
                <w:szCs w:val="20"/>
              </w:rPr>
              <w:t>Indicador:</w:t>
            </w:r>
            <w:r w:rsidRPr="00FA79EC">
              <w:rPr>
                <w:rFonts w:ascii="Verdana" w:hAnsi="Verdana"/>
                <w:sz w:val="20"/>
                <w:szCs w:val="20"/>
              </w:rPr>
              <w:t xml:space="preserve"> </w:t>
            </w:r>
            <w:r w:rsidR="00657D6F">
              <w:rPr>
                <w:rFonts w:ascii="Verdana" w:hAnsi="Verdana"/>
                <w:sz w:val="20"/>
                <w:szCs w:val="20"/>
              </w:rPr>
              <w:t>20.220</w:t>
            </w:r>
            <w:r w:rsidR="00F002C9">
              <w:rPr>
                <w:rFonts w:ascii="Verdana" w:hAnsi="Verdana"/>
                <w:sz w:val="20"/>
                <w:szCs w:val="20"/>
              </w:rPr>
              <w:t>,</w:t>
            </w:r>
            <w:r w:rsidR="00657D6F">
              <w:rPr>
                <w:rFonts w:ascii="Verdana" w:hAnsi="Verdana"/>
                <w:sz w:val="20"/>
                <w:szCs w:val="20"/>
              </w:rPr>
              <w:t>1</w:t>
            </w:r>
            <w:r w:rsidR="00CB5599" w:rsidRPr="00FA79EC">
              <w:rPr>
                <w:rFonts w:ascii="Verdana" w:hAnsi="Verdana"/>
                <w:sz w:val="20"/>
                <w:szCs w:val="20"/>
              </w:rPr>
              <w:t xml:space="preserve"> </w:t>
            </w:r>
            <w:r w:rsidRPr="00FA79EC">
              <w:rPr>
                <w:rFonts w:ascii="Verdana" w:hAnsi="Verdana"/>
                <w:sz w:val="20"/>
                <w:szCs w:val="20"/>
              </w:rPr>
              <w:t>/</w:t>
            </w:r>
            <w:r w:rsidR="00CB5599" w:rsidRPr="00FA79EC">
              <w:rPr>
                <w:rFonts w:ascii="Verdana" w:hAnsi="Verdana"/>
                <w:sz w:val="20"/>
                <w:szCs w:val="20"/>
              </w:rPr>
              <w:t xml:space="preserve"> 65.618,1</w:t>
            </w:r>
            <w:r w:rsidRPr="00FA79EC">
              <w:rPr>
                <w:rFonts w:ascii="Verdana" w:hAnsi="Verdana"/>
                <w:sz w:val="20"/>
                <w:szCs w:val="20"/>
              </w:rPr>
              <w:t xml:space="preserve"> = </w:t>
            </w:r>
            <w:r w:rsidR="00657D6F">
              <w:rPr>
                <w:rFonts w:ascii="Verdana" w:hAnsi="Verdana"/>
                <w:sz w:val="20"/>
                <w:szCs w:val="20"/>
              </w:rPr>
              <w:t>30</w:t>
            </w:r>
            <w:r w:rsidR="00C32EE1">
              <w:rPr>
                <w:rFonts w:ascii="Verdana" w:hAnsi="Verdana"/>
                <w:sz w:val="20"/>
                <w:szCs w:val="20"/>
              </w:rPr>
              <w:t>,</w:t>
            </w:r>
            <w:r w:rsidR="00657D6F">
              <w:rPr>
                <w:rFonts w:ascii="Verdana" w:hAnsi="Verdana"/>
                <w:sz w:val="20"/>
                <w:szCs w:val="20"/>
              </w:rPr>
              <w:t>81</w:t>
            </w:r>
            <w:r w:rsidRPr="00FA79EC">
              <w:rPr>
                <w:rFonts w:ascii="Verdana" w:hAnsi="Verdana"/>
                <w:sz w:val="20"/>
                <w:szCs w:val="20"/>
              </w:rPr>
              <w:t>%.</w:t>
            </w:r>
          </w:p>
          <w:p w:rsidR="00C44B13" w:rsidRDefault="00265D9B" w:rsidP="00C44B13">
            <w:pPr>
              <w:jc w:val="both"/>
              <w:rPr>
                <w:rFonts w:ascii="Verdana" w:hAnsi="Verdana" w:cs="Arial"/>
                <w:sz w:val="20"/>
                <w:szCs w:val="20"/>
              </w:rPr>
            </w:pPr>
            <w:r w:rsidRPr="00377A56">
              <w:rPr>
                <w:rFonts w:ascii="Verdana" w:hAnsi="Verdana"/>
                <w:sz w:val="20"/>
                <w:szCs w:val="20"/>
              </w:rPr>
              <w:t xml:space="preserve">Se comprometieron recursos por valor de </w:t>
            </w:r>
            <w:r w:rsidR="00C44B13">
              <w:rPr>
                <w:rFonts w:ascii="Verdana" w:hAnsi="Verdana"/>
                <w:sz w:val="20"/>
                <w:szCs w:val="20"/>
              </w:rPr>
              <w:t>20.220,1</w:t>
            </w:r>
            <w:r w:rsidRPr="00377A56">
              <w:rPr>
                <w:rFonts w:ascii="Verdana" w:hAnsi="Verdana"/>
                <w:sz w:val="20"/>
                <w:szCs w:val="20"/>
              </w:rPr>
              <w:t xml:space="preserve"> millones equivalentes al </w:t>
            </w:r>
            <w:r w:rsidR="00C44B13">
              <w:rPr>
                <w:rFonts w:ascii="Verdana" w:hAnsi="Verdana"/>
                <w:sz w:val="20"/>
                <w:szCs w:val="20"/>
              </w:rPr>
              <w:t>30,81</w:t>
            </w:r>
            <w:r w:rsidRPr="00377A56">
              <w:rPr>
                <w:rFonts w:ascii="Verdana" w:hAnsi="Verdana"/>
                <w:sz w:val="20"/>
                <w:szCs w:val="20"/>
              </w:rPr>
              <w:t xml:space="preserve">% de la apropiación en inversión, frente a una meta del </w:t>
            </w:r>
            <w:r w:rsidR="00C44B13">
              <w:rPr>
                <w:rFonts w:ascii="Verdana" w:hAnsi="Verdana"/>
                <w:sz w:val="20"/>
                <w:szCs w:val="20"/>
              </w:rPr>
              <w:t>33</w:t>
            </w:r>
            <w:r w:rsidR="003C7F29">
              <w:rPr>
                <w:rFonts w:ascii="Verdana" w:hAnsi="Verdana"/>
                <w:sz w:val="20"/>
                <w:szCs w:val="20"/>
              </w:rPr>
              <w:t>,</w:t>
            </w:r>
            <w:r w:rsidR="00C44B13">
              <w:rPr>
                <w:rFonts w:ascii="Verdana" w:hAnsi="Verdana"/>
                <w:sz w:val="20"/>
                <w:szCs w:val="20"/>
              </w:rPr>
              <w:t>89%,</w:t>
            </w:r>
            <w:r w:rsidR="00C44B13" w:rsidRPr="00994555">
              <w:rPr>
                <w:rFonts w:ascii="Verdana" w:hAnsi="Verdana" w:cs="Arial"/>
                <w:sz w:val="20"/>
                <w:szCs w:val="20"/>
              </w:rPr>
              <w:t xml:space="preserve"> </w:t>
            </w:r>
            <w:r w:rsidR="00C44B13">
              <w:rPr>
                <w:rFonts w:ascii="Verdana" w:hAnsi="Verdana" w:cs="Arial"/>
                <w:sz w:val="20"/>
                <w:szCs w:val="20"/>
              </w:rPr>
              <w:t xml:space="preserve">Déficit </w:t>
            </w:r>
            <w:r w:rsidR="00C44B13" w:rsidRPr="00994555">
              <w:rPr>
                <w:rFonts w:ascii="Verdana" w:hAnsi="Verdana" w:cs="Arial"/>
                <w:sz w:val="20"/>
                <w:szCs w:val="20"/>
              </w:rPr>
              <w:t xml:space="preserve">de </w:t>
            </w:r>
            <w:r w:rsidR="00C44B13">
              <w:rPr>
                <w:rFonts w:ascii="Verdana" w:hAnsi="Verdana" w:cs="Arial"/>
                <w:sz w:val="20"/>
                <w:szCs w:val="20"/>
              </w:rPr>
              <w:t>2.021</w:t>
            </w:r>
            <w:r w:rsidR="00C44B13" w:rsidRPr="00994555">
              <w:rPr>
                <w:rFonts w:ascii="Verdana" w:hAnsi="Verdana" w:cs="Arial"/>
                <w:sz w:val="20"/>
                <w:szCs w:val="20"/>
              </w:rPr>
              <w:t xml:space="preserve"> millones</w:t>
            </w:r>
            <w:r w:rsidR="00C44B13">
              <w:rPr>
                <w:rFonts w:ascii="Verdana" w:hAnsi="Verdana" w:cs="Arial"/>
                <w:sz w:val="20"/>
                <w:szCs w:val="20"/>
              </w:rPr>
              <w:t xml:space="preserve">, </w:t>
            </w:r>
            <w:r w:rsidR="00C44B13" w:rsidRPr="00994555">
              <w:rPr>
                <w:rFonts w:ascii="Verdana" w:hAnsi="Verdana" w:cs="Arial"/>
                <w:sz w:val="20"/>
                <w:szCs w:val="20"/>
              </w:rPr>
              <w:t>debido a que</w:t>
            </w:r>
            <w:r w:rsidR="00C44B13">
              <w:rPr>
                <w:rFonts w:ascii="Verdana" w:hAnsi="Verdana" w:cs="Arial"/>
                <w:sz w:val="20"/>
                <w:szCs w:val="20"/>
              </w:rPr>
              <w:t xml:space="preserve"> no se tramitaron todos los contratos que se tenían previstos por el rubro de Contrapartida y por Administración de Recursos, a pesar de presentar déficit por Inversión, el rubro de </w:t>
            </w:r>
            <w:r w:rsidR="00C44B13">
              <w:rPr>
                <w:rFonts w:ascii="Verdana" w:hAnsi="Verdana" w:cs="Arial"/>
                <w:sz w:val="20"/>
                <w:szCs w:val="20"/>
              </w:rPr>
              <w:lastRenderedPageBreak/>
              <w:t>Fortalecimiento de las Capacidades Tecnológicas presenta superávit, cumplió con la meta propuesta.</w:t>
            </w:r>
          </w:p>
          <w:p w:rsidR="00C32EE1" w:rsidRDefault="00C32EE1" w:rsidP="00377A56">
            <w:pPr>
              <w:jc w:val="both"/>
              <w:rPr>
                <w:rFonts w:ascii="Verdana" w:hAnsi="Verdana" w:cs="Arial"/>
                <w:sz w:val="20"/>
                <w:szCs w:val="20"/>
              </w:rPr>
            </w:pPr>
          </w:p>
          <w:p w:rsidR="00C44B13" w:rsidRDefault="00C44B13" w:rsidP="00C44B13">
            <w:pPr>
              <w:jc w:val="both"/>
              <w:rPr>
                <w:rFonts w:ascii="Verdana" w:hAnsi="Verdana" w:cs="Arial"/>
                <w:sz w:val="20"/>
                <w:szCs w:val="20"/>
              </w:rPr>
            </w:pPr>
            <w:r w:rsidRPr="00F55472">
              <w:rPr>
                <w:rFonts w:ascii="Verdana" w:hAnsi="Verdana" w:cs="Arial"/>
                <w:sz w:val="20"/>
                <w:szCs w:val="20"/>
              </w:rPr>
              <w:t>La ejecución de</w:t>
            </w:r>
            <w:r w:rsidRPr="00902BE7">
              <w:rPr>
                <w:rFonts w:ascii="Verdana" w:hAnsi="Verdana" w:cs="Arial"/>
                <w:sz w:val="20"/>
                <w:szCs w:val="20"/>
              </w:rPr>
              <w:t xml:space="preserve"> los gastos de inversión estuvo distribuida así: </w:t>
            </w:r>
          </w:p>
          <w:p w:rsidR="00AD06F9" w:rsidRDefault="00AD06F9" w:rsidP="00C44B13">
            <w:pPr>
              <w:jc w:val="both"/>
              <w:rPr>
                <w:rFonts w:ascii="Verdana" w:hAnsi="Verdana" w:cs="Arial"/>
                <w:sz w:val="20"/>
                <w:szCs w:val="20"/>
              </w:rPr>
            </w:pPr>
          </w:p>
          <w:p w:rsidR="00C44B13" w:rsidRDefault="00C44B13" w:rsidP="00C44B13">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6,55% de la ejecución de inversión, equivalente a 1.323,5 para el contrato con el ICETEX.</w:t>
            </w:r>
          </w:p>
          <w:p w:rsidR="00C44B13" w:rsidRDefault="00C44B13" w:rsidP="00C44B13">
            <w:pPr>
              <w:jc w:val="both"/>
              <w:rPr>
                <w:rFonts w:ascii="Verdana" w:hAnsi="Verdana" w:cs="Arial"/>
                <w:sz w:val="20"/>
                <w:szCs w:val="20"/>
              </w:rPr>
            </w:pPr>
            <w:r>
              <w:rPr>
                <w:rFonts w:ascii="Verdana" w:hAnsi="Verdana" w:cs="Arial"/>
                <w:sz w:val="20"/>
                <w:szCs w:val="20"/>
              </w:rPr>
              <w:t>2)</w:t>
            </w:r>
            <w:r>
              <w:t xml:space="preserve"> I</w:t>
            </w:r>
            <w:r w:rsidRPr="00BD6CAD">
              <w:rPr>
                <w:rFonts w:ascii="Verdana" w:hAnsi="Verdana" w:cs="Arial"/>
                <w:sz w:val="20"/>
                <w:szCs w:val="20"/>
              </w:rPr>
              <w:t>mplementación de proyectos de cooperación internacional no reembolsable con aporte de recursos de contrapartida nacional</w:t>
            </w:r>
            <w:r>
              <w:rPr>
                <w:rFonts w:ascii="Verdana" w:hAnsi="Verdana" w:cs="Arial"/>
                <w:sz w:val="20"/>
                <w:szCs w:val="20"/>
              </w:rPr>
              <w:t xml:space="preserve"> con el 5,91% de la ejecución de inversión, equivalente a 1.194,3 millones para los Convenios interadministrativos, con el Hospital local de Tauramena, Convenio de asociación con La Fundación Plan, </w:t>
            </w:r>
            <w:r w:rsidRPr="00101571">
              <w:rPr>
                <w:rFonts w:ascii="Verdana" w:hAnsi="Verdana" w:cs="Arial"/>
                <w:sz w:val="20"/>
                <w:szCs w:val="20"/>
              </w:rPr>
              <w:t xml:space="preserve">Convenio </w:t>
            </w:r>
            <w:r>
              <w:rPr>
                <w:rFonts w:ascii="Verdana" w:hAnsi="Verdana" w:cs="Arial"/>
                <w:sz w:val="20"/>
                <w:szCs w:val="20"/>
              </w:rPr>
              <w:t xml:space="preserve">con </w:t>
            </w:r>
            <w:r w:rsidRPr="00101571">
              <w:rPr>
                <w:rFonts w:ascii="Verdana" w:hAnsi="Verdana" w:cs="Arial"/>
                <w:sz w:val="20"/>
                <w:szCs w:val="20"/>
              </w:rPr>
              <w:t>Cuso International</w:t>
            </w:r>
            <w:r>
              <w:rPr>
                <w:rFonts w:ascii="Verdana" w:hAnsi="Verdana" w:cs="Arial"/>
                <w:sz w:val="20"/>
                <w:szCs w:val="20"/>
              </w:rPr>
              <w:t xml:space="preserve"> y Convenio con el </w:t>
            </w:r>
            <w:r w:rsidRPr="00101571">
              <w:rPr>
                <w:rFonts w:ascii="Verdana" w:hAnsi="Verdana" w:cs="Arial"/>
                <w:sz w:val="20"/>
                <w:szCs w:val="20"/>
              </w:rPr>
              <w:t>Instituto De Investigación De Recursos Biológicos Alexander Von Humboldt</w:t>
            </w:r>
            <w:r>
              <w:rPr>
                <w:rFonts w:ascii="Verdana" w:hAnsi="Verdana" w:cs="Arial"/>
                <w:sz w:val="20"/>
                <w:szCs w:val="20"/>
              </w:rPr>
              <w:t>.</w:t>
            </w:r>
          </w:p>
          <w:p w:rsidR="00C44B13" w:rsidRPr="00902BE7" w:rsidRDefault="00C44B13" w:rsidP="00C44B13">
            <w:pPr>
              <w:jc w:val="both"/>
              <w:rPr>
                <w:rFonts w:ascii="Verdana" w:hAnsi="Verdana" w:cs="Arial"/>
                <w:sz w:val="20"/>
                <w:szCs w:val="20"/>
              </w:rPr>
            </w:pPr>
            <w:r>
              <w:rPr>
                <w:rFonts w:ascii="Verdana" w:hAnsi="Verdana" w:cs="Arial"/>
                <w:sz w:val="20"/>
                <w:szCs w:val="20"/>
              </w:rPr>
              <w:t>3</w:t>
            </w:r>
            <w:r w:rsidRPr="00902BE7">
              <w:rPr>
                <w:rFonts w:ascii="Verdana" w:hAnsi="Verdana" w:cs="Arial"/>
                <w:sz w:val="20"/>
                <w:szCs w:val="20"/>
              </w:rPr>
              <w:t xml:space="preserve">) Administración de Recursos de Cooperación con el </w:t>
            </w:r>
            <w:r>
              <w:rPr>
                <w:rFonts w:ascii="Verdana" w:hAnsi="Verdana" w:cs="Arial"/>
                <w:sz w:val="20"/>
                <w:szCs w:val="20"/>
              </w:rPr>
              <w:t>84,55</w:t>
            </w:r>
            <w:r w:rsidRPr="00902BE7">
              <w:rPr>
                <w:rFonts w:ascii="Verdana" w:hAnsi="Verdana" w:cs="Arial"/>
                <w:sz w:val="20"/>
                <w:szCs w:val="20"/>
              </w:rPr>
              <w:t xml:space="preserve">% de la ejecución en inversión, equivalente a </w:t>
            </w:r>
            <w:r>
              <w:rPr>
                <w:rFonts w:ascii="Verdana" w:hAnsi="Verdana" w:cs="Arial"/>
                <w:sz w:val="20"/>
                <w:szCs w:val="20"/>
              </w:rPr>
              <w:t xml:space="preserve">17.096,4 </w:t>
            </w:r>
            <w:r w:rsidRPr="00902BE7">
              <w:rPr>
                <w:rFonts w:ascii="Verdana" w:hAnsi="Verdana" w:cs="Arial"/>
                <w:sz w:val="20"/>
                <w:szCs w:val="20"/>
              </w:rPr>
              <w:t xml:space="preserve">millones, distribuidos así: </w:t>
            </w:r>
          </w:p>
          <w:p w:rsidR="00C44B13" w:rsidRPr="00902BE7" w:rsidRDefault="00C44B13" w:rsidP="00C44B13">
            <w:pPr>
              <w:jc w:val="both"/>
              <w:rPr>
                <w:rFonts w:ascii="Verdana" w:hAnsi="Verdana" w:cs="Arial"/>
                <w:sz w:val="20"/>
                <w:szCs w:val="20"/>
              </w:rPr>
            </w:pPr>
            <w:r w:rsidRPr="00902BE7">
              <w:rPr>
                <w:rFonts w:ascii="Verdana" w:hAnsi="Verdana" w:cs="Arial"/>
                <w:sz w:val="20"/>
                <w:szCs w:val="20"/>
              </w:rPr>
              <w:t xml:space="preserve">a) </w:t>
            </w:r>
            <w:r>
              <w:rPr>
                <w:rFonts w:ascii="Verdana" w:hAnsi="Verdana" w:cs="Arial"/>
                <w:sz w:val="20"/>
                <w:szCs w:val="20"/>
              </w:rPr>
              <w:t>628,8</w:t>
            </w:r>
            <w:r w:rsidRPr="00902BE7">
              <w:rPr>
                <w:rFonts w:ascii="Verdana" w:hAnsi="Verdana" w:cs="Arial"/>
                <w:sz w:val="20"/>
                <w:szCs w:val="20"/>
              </w:rPr>
              <w:t xml:space="preserve"> millones del proyecto, denominado “Inclusión Social de Personas con Discapacidad mediante el Deporte: Fortalecimiento de Estructuras Nacionales Paralímpicas”</w:t>
            </w:r>
          </w:p>
          <w:p w:rsidR="00C44B13" w:rsidRPr="00902BE7" w:rsidRDefault="00C44B13" w:rsidP="00C44B13">
            <w:pPr>
              <w:jc w:val="both"/>
              <w:rPr>
                <w:rFonts w:ascii="Verdana" w:hAnsi="Verdana" w:cs="Arial"/>
                <w:sz w:val="20"/>
                <w:szCs w:val="20"/>
              </w:rPr>
            </w:pPr>
            <w:r>
              <w:rPr>
                <w:rFonts w:ascii="Verdana" w:hAnsi="Verdana" w:cs="Arial"/>
                <w:sz w:val="20"/>
                <w:szCs w:val="20"/>
              </w:rPr>
              <w:t>b) 2.044,8</w:t>
            </w:r>
            <w:r w:rsidRPr="00902BE7">
              <w:rPr>
                <w:rFonts w:ascii="Verdana" w:hAnsi="Verdana" w:cs="Arial"/>
                <w:sz w:val="20"/>
                <w:szCs w:val="20"/>
              </w:rPr>
              <w:t xml:space="preserve"> millones del proyecto “Estrategia regional de emprendimiento” financiado con recursos donados por la Unión Europea.</w:t>
            </w:r>
          </w:p>
          <w:p w:rsidR="00C44B13" w:rsidRDefault="00C44B13" w:rsidP="00C44B13">
            <w:pPr>
              <w:jc w:val="both"/>
              <w:rPr>
                <w:rFonts w:ascii="Verdana" w:hAnsi="Verdana" w:cs="Arial"/>
                <w:sz w:val="20"/>
                <w:szCs w:val="20"/>
              </w:rPr>
            </w:pPr>
            <w:r w:rsidRPr="00902BE7">
              <w:rPr>
                <w:rFonts w:ascii="Verdana" w:hAnsi="Verdana" w:cs="Arial"/>
                <w:sz w:val="20"/>
                <w:szCs w:val="20"/>
              </w:rPr>
              <w:t xml:space="preserve">c) </w:t>
            </w:r>
            <w:r>
              <w:rPr>
                <w:rFonts w:ascii="Verdana" w:hAnsi="Verdana" w:cs="Arial"/>
                <w:sz w:val="20"/>
                <w:szCs w:val="20"/>
              </w:rPr>
              <w:t>14.008,8</w:t>
            </w:r>
            <w:r w:rsidRPr="00902BE7">
              <w:rPr>
                <w:rFonts w:ascii="Verdana" w:hAnsi="Verdana" w:cs="Arial"/>
                <w:sz w:val="20"/>
                <w:szCs w:val="20"/>
              </w:rPr>
              <w:t xml:space="preserve"> millones por cuenta del proyecto de desminado terrestre en el marco del convenio de subvención firmado con la fundación Howard Buffet.</w:t>
            </w:r>
          </w:p>
          <w:p w:rsidR="00C44B13" w:rsidRDefault="00C44B13" w:rsidP="00C44B13">
            <w:pPr>
              <w:jc w:val="both"/>
              <w:rPr>
                <w:rFonts w:ascii="Verdana" w:hAnsi="Verdana" w:cs="Arial"/>
                <w:sz w:val="20"/>
                <w:szCs w:val="20"/>
              </w:rPr>
            </w:pPr>
            <w:r>
              <w:rPr>
                <w:rFonts w:ascii="Verdana" w:hAnsi="Verdana" w:cs="Arial"/>
                <w:sz w:val="20"/>
                <w:szCs w:val="20"/>
              </w:rPr>
              <w:t>d) 393,7 millones del proyecto Fondo Verde del Clima.</w:t>
            </w:r>
          </w:p>
          <w:p w:rsidR="00C44B13" w:rsidRDefault="00C44B13" w:rsidP="00C44B13">
            <w:pPr>
              <w:jc w:val="both"/>
              <w:rPr>
                <w:rFonts w:ascii="Verdana" w:hAnsi="Verdana" w:cs="Arial"/>
                <w:sz w:val="20"/>
                <w:szCs w:val="20"/>
              </w:rPr>
            </w:pPr>
            <w:r>
              <w:rPr>
                <w:rFonts w:ascii="Verdana" w:hAnsi="Verdana" w:cs="Arial"/>
                <w:sz w:val="20"/>
                <w:szCs w:val="20"/>
              </w:rPr>
              <w:t>e) 20,0 millones del proyecto con Corporación Andina de Fomento-CAF.</w:t>
            </w:r>
          </w:p>
          <w:p w:rsidR="00C44B13" w:rsidRPr="00902BE7" w:rsidRDefault="00C44B13" w:rsidP="00C44B13">
            <w:pPr>
              <w:jc w:val="both"/>
              <w:rPr>
                <w:rFonts w:ascii="Verdana" w:hAnsi="Verdana" w:cs="Arial"/>
                <w:sz w:val="20"/>
                <w:szCs w:val="20"/>
              </w:rPr>
            </w:pPr>
          </w:p>
          <w:p w:rsidR="00746AE6" w:rsidRPr="00B65FB9" w:rsidRDefault="00C44B13" w:rsidP="00C44B13">
            <w:pPr>
              <w:jc w:val="both"/>
              <w:rPr>
                <w:rFonts w:ascii="Verdana" w:hAnsi="Verdana" w:cs="Arial"/>
                <w:sz w:val="20"/>
                <w:szCs w:val="20"/>
              </w:rPr>
            </w:pPr>
            <w:r>
              <w:rPr>
                <w:rFonts w:ascii="Verdana" w:hAnsi="Verdana" w:cs="Arial"/>
                <w:sz w:val="20"/>
                <w:szCs w:val="20"/>
              </w:rPr>
              <w:t>4</w:t>
            </w:r>
            <w:r w:rsidRPr="00902BE7">
              <w:rPr>
                <w:rFonts w:ascii="Verdana" w:hAnsi="Verdana" w:cs="Arial"/>
                <w:sz w:val="20"/>
                <w:szCs w:val="20"/>
              </w:rPr>
              <w:t xml:space="preserve">) Fortalecimiento de las capacidades tecnológicas de la información en APC-COLOMBIA, con el </w:t>
            </w:r>
            <w:r>
              <w:rPr>
                <w:rFonts w:ascii="Verdana" w:hAnsi="Verdana" w:cs="Arial"/>
                <w:sz w:val="20"/>
                <w:szCs w:val="20"/>
              </w:rPr>
              <w:t>3</w:t>
            </w:r>
            <w:r w:rsidRPr="00902BE7">
              <w:rPr>
                <w:rFonts w:ascii="Verdana" w:hAnsi="Verdana" w:cs="Arial"/>
                <w:sz w:val="20"/>
                <w:szCs w:val="20"/>
              </w:rPr>
              <w:t xml:space="preserve">% de la ejecución en inversión, equivalente a </w:t>
            </w:r>
            <w:r>
              <w:rPr>
                <w:rFonts w:ascii="Verdana" w:hAnsi="Verdana" w:cs="Arial"/>
                <w:sz w:val="20"/>
                <w:szCs w:val="20"/>
              </w:rPr>
              <w:t>605,8</w:t>
            </w:r>
            <w:r w:rsidRPr="00902BE7">
              <w:rPr>
                <w:rFonts w:ascii="Verdana" w:hAnsi="Verdana" w:cs="Arial"/>
                <w:sz w:val="20"/>
                <w:szCs w:val="20"/>
              </w:rPr>
              <w:t xml:space="preserve"> millones para los servicios </w:t>
            </w:r>
            <w:r w:rsidRPr="00902BE7">
              <w:rPr>
                <w:rFonts w:ascii="Verdana" w:hAnsi="Verdana" w:cs="Arial"/>
                <w:sz w:val="20"/>
                <w:szCs w:val="20"/>
              </w:rPr>
              <w:lastRenderedPageBreak/>
              <w:t>profesional</w:t>
            </w:r>
            <w:r>
              <w:rPr>
                <w:rFonts w:ascii="Verdana" w:hAnsi="Verdana" w:cs="Arial"/>
                <w:sz w:val="20"/>
                <w:szCs w:val="20"/>
              </w:rPr>
              <w:t>es para la gestión del proyecto y los contratos con la Unión Temporal Seguridad-</w:t>
            </w:r>
            <w:proofErr w:type="spellStart"/>
            <w:r>
              <w:rPr>
                <w:rFonts w:ascii="Verdana" w:hAnsi="Verdana" w:cs="Arial"/>
                <w:sz w:val="20"/>
                <w:szCs w:val="20"/>
              </w:rPr>
              <w:t>Nas</w:t>
            </w:r>
            <w:proofErr w:type="spellEnd"/>
            <w:r>
              <w:rPr>
                <w:rFonts w:ascii="Verdana" w:hAnsi="Verdana" w:cs="Arial"/>
                <w:sz w:val="20"/>
                <w:szCs w:val="20"/>
              </w:rPr>
              <w:t xml:space="preserve">, </w:t>
            </w:r>
            <w:proofErr w:type="spellStart"/>
            <w:r w:rsidRPr="0057344D">
              <w:rPr>
                <w:rFonts w:ascii="Verdana" w:hAnsi="Verdana" w:cs="Arial"/>
                <w:sz w:val="20"/>
                <w:szCs w:val="20"/>
              </w:rPr>
              <w:t>Ximil</w:t>
            </w:r>
            <w:proofErr w:type="spellEnd"/>
            <w:r w:rsidRPr="0057344D">
              <w:rPr>
                <w:rFonts w:ascii="Verdana" w:hAnsi="Verdana" w:cs="Arial"/>
                <w:sz w:val="20"/>
                <w:szCs w:val="20"/>
              </w:rPr>
              <w:t xml:space="preserve"> Technologies </w:t>
            </w:r>
            <w:r>
              <w:rPr>
                <w:rFonts w:ascii="Verdana" w:hAnsi="Verdana" w:cs="Arial"/>
                <w:sz w:val="20"/>
                <w:szCs w:val="20"/>
              </w:rPr>
              <w:t xml:space="preserve">y el </w:t>
            </w:r>
            <w:r w:rsidRPr="0057344D">
              <w:rPr>
                <w:rFonts w:ascii="Verdana" w:hAnsi="Verdana" w:cs="Arial"/>
                <w:sz w:val="20"/>
                <w:szCs w:val="20"/>
              </w:rPr>
              <w:t>contrato con la Unión Solucione</w:t>
            </w:r>
            <w:r>
              <w:rPr>
                <w:rFonts w:ascii="Verdana" w:hAnsi="Verdana" w:cs="Arial"/>
                <w:sz w:val="20"/>
                <w:szCs w:val="20"/>
              </w:rPr>
              <w:t>s Sistemas De Información S.A.S.</w:t>
            </w:r>
          </w:p>
        </w:tc>
        <w:tc>
          <w:tcPr>
            <w:tcW w:w="6640" w:type="dxa"/>
            <w:vAlign w:val="center"/>
          </w:tcPr>
          <w:p w:rsidR="00265D9B" w:rsidRPr="00FA79EC" w:rsidRDefault="00265D9B" w:rsidP="00265D9B">
            <w:pPr>
              <w:jc w:val="both"/>
              <w:rPr>
                <w:rFonts w:ascii="Verdana" w:eastAsia="Times New Roman" w:hAnsi="Verdana" w:cs="Times New Roman"/>
                <w:sz w:val="20"/>
                <w:szCs w:val="20"/>
              </w:rPr>
            </w:pPr>
            <w:r w:rsidRPr="00FA79EC">
              <w:rPr>
                <w:rFonts w:ascii="Verdana" w:eastAsia="Times New Roman" w:hAnsi="Verdana" w:cs="Times New Roman"/>
                <w:b/>
                <w:sz w:val="20"/>
                <w:szCs w:val="20"/>
              </w:rPr>
              <w:lastRenderedPageBreak/>
              <w:t>Indicador:</w:t>
            </w:r>
            <w:r w:rsidRPr="00FA79EC">
              <w:rPr>
                <w:rFonts w:ascii="Verdana" w:eastAsia="Times New Roman" w:hAnsi="Verdana" w:cs="Times New Roman"/>
                <w:sz w:val="20"/>
                <w:szCs w:val="20"/>
              </w:rPr>
              <w:t xml:space="preserve"> Ejecución Obligaciones / Apropiación Vigente.</w:t>
            </w:r>
          </w:p>
          <w:p w:rsidR="00265D9B" w:rsidRPr="00FA79EC" w:rsidRDefault="006F65B6" w:rsidP="00265D9B">
            <w:pPr>
              <w:jc w:val="both"/>
              <w:rPr>
                <w:rFonts w:ascii="Verdana" w:eastAsia="Times New Roman" w:hAnsi="Verdana" w:cs="Times New Roman"/>
                <w:sz w:val="20"/>
                <w:szCs w:val="20"/>
              </w:rPr>
            </w:pPr>
            <w:r w:rsidRPr="00FA79EC">
              <w:rPr>
                <w:rFonts w:ascii="Verdana" w:eastAsia="Times New Roman" w:hAnsi="Verdana" w:cs="Times New Roman"/>
                <w:b/>
                <w:sz w:val="20"/>
                <w:szCs w:val="20"/>
              </w:rPr>
              <w:t>Indicador:</w:t>
            </w:r>
            <w:r w:rsidR="00265D9B" w:rsidRPr="00FA79EC">
              <w:rPr>
                <w:rFonts w:ascii="Verdana" w:eastAsia="Times New Roman" w:hAnsi="Verdana" w:cs="Times New Roman"/>
                <w:sz w:val="20"/>
                <w:szCs w:val="20"/>
              </w:rPr>
              <w:t xml:space="preserve"> </w:t>
            </w:r>
            <w:r w:rsidR="00AD06F9">
              <w:rPr>
                <w:rFonts w:ascii="Verdana" w:eastAsia="Times New Roman" w:hAnsi="Verdana" w:cs="Times New Roman"/>
                <w:sz w:val="20"/>
                <w:szCs w:val="20"/>
              </w:rPr>
              <w:t>5.112,4</w:t>
            </w:r>
            <w:r w:rsidR="001D11D2" w:rsidRPr="00FA79EC">
              <w:rPr>
                <w:rFonts w:ascii="Verdana" w:eastAsia="Times New Roman" w:hAnsi="Verdana" w:cs="Times New Roman"/>
                <w:sz w:val="20"/>
                <w:szCs w:val="20"/>
              </w:rPr>
              <w:t xml:space="preserve"> </w:t>
            </w:r>
            <w:r w:rsidR="008C5467" w:rsidRPr="00FA79EC">
              <w:rPr>
                <w:rFonts w:ascii="Verdana" w:eastAsia="Times New Roman" w:hAnsi="Verdana" w:cs="Times New Roman"/>
                <w:sz w:val="20"/>
                <w:szCs w:val="20"/>
              </w:rPr>
              <w:t>/</w:t>
            </w:r>
            <w:r w:rsidR="001D11D2" w:rsidRPr="00FA79EC">
              <w:rPr>
                <w:rFonts w:ascii="Verdana" w:eastAsia="Times New Roman" w:hAnsi="Verdana" w:cs="Times New Roman"/>
                <w:sz w:val="20"/>
                <w:szCs w:val="20"/>
              </w:rPr>
              <w:t xml:space="preserve"> 65.618,1</w:t>
            </w:r>
            <w:r w:rsidR="008C5467" w:rsidRPr="00FA79EC">
              <w:rPr>
                <w:rFonts w:ascii="Verdana" w:eastAsia="Times New Roman" w:hAnsi="Verdana" w:cs="Times New Roman"/>
                <w:sz w:val="20"/>
                <w:szCs w:val="20"/>
              </w:rPr>
              <w:t xml:space="preserve"> </w:t>
            </w:r>
            <w:r w:rsidR="00265D9B" w:rsidRPr="00FA79EC">
              <w:rPr>
                <w:rFonts w:ascii="Verdana" w:eastAsia="Times New Roman" w:hAnsi="Verdana" w:cs="Times New Roman"/>
                <w:sz w:val="20"/>
                <w:szCs w:val="20"/>
              </w:rPr>
              <w:t xml:space="preserve">= </w:t>
            </w:r>
            <w:r w:rsidR="002837B2">
              <w:rPr>
                <w:rFonts w:ascii="Verdana" w:eastAsia="Times New Roman" w:hAnsi="Verdana" w:cs="Times New Roman"/>
                <w:sz w:val="20"/>
                <w:szCs w:val="20"/>
              </w:rPr>
              <w:t>7,</w:t>
            </w:r>
            <w:r w:rsidR="00AD06F9">
              <w:rPr>
                <w:rFonts w:ascii="Verdana" w:eastAsia="Times New Roman" w:hAnsi="Verdana" w:cs="Times New Roman"/>
                <w:sz w:val="20"/>
                <w:szCs w:val="20"/>
              </w:rPr>
              <w:t>79</w:t>
            </w:r>
            <w:r w:rsidR="00265D9B" w:rsidRPr="00FA79EC">
              <w:rPr>
                <w:rFonts w:ascii="Verdana" w:eastAsia="Times New Roman" w:hAnsi="Verdana" w:cs="Times New Roman"/>
                <w:sz w:val="20"/>
                <w:szCs w:val="20"/>
              </w:rPr>
              <w:t xml:space="preserve">%. </w:t>
            </w:r>
          </w:p>
          <w:p w:rsidR="00AD06F9" w:rsidRDefault="00265D9B" w:rsidP="00AD06F9">
            <w:pPr>
              <w:jc w:val="both"/>
              <w:rPr>
                <w:rFonts w:ascii="Verdana" w:hAnsi="Verdana" w:cs="Arial"/>
                <w:sz w:val="20"/>
                <w:szCs w:val="20"/>
              </w:rPr>
            </w:pPr>
            <w:r w:rsidRPr="00FA79EC">
              <w:rPr>
                <w:rFonts w:ascii="Verdana" w:eastAsia="Times New Roman" w:hAnsi="Verdana" w:cs="Times New Roman"/>
                <w:sz w:val="20"/>
                <w:szCs w:val="20"/>
              </w:rPr>
              <w:t xml:space="preserve">Se obligaron recursos por valor de </w:t>
            </w:r>
            <w:r w:rsidR="00AD06F9">
              <w:rPr>
                <w:rFonts w:ascii="Verdana" w:eastAsia="Times New Roman" w:hAnsi="Verdana" w:cs="Times New Roman"/>
                <w:sz w:val="20"/>
                <w:szCs w:val="20"/>
              </w:rPr>
              <w:t>5.112,4</w:t>
            </w:r>
            <w:r w:rsidR="008C5467" w:rsidRPr="00FA79EC">
              <w:rPr>
                <w:rFonts w:ascii="Verdana" w:eastAsia="Times New Roman" w:hAnsi="Verdana" w:cs="Times New Roman"/>
                <w:sz w:val="20"/>
                <w:szCs w:val="20"/>
              </w:rPr>
              <w:t xml:space="preserve"> millones equivalentes al </w:t>
            </w:r>
            <w:r w:rsidR="00AD06F9">
              <w:rPr>
                <w:rFonts w:ascii="Verdana" w:eastAsia="Times New Roman" w:hAnsi="Verdana" w:cs="Times New Roman"/>
                <w:sz w:val="20"/>
                <w:szCs w:val="20"/>
              </w:rPr>
              <w:t>7,79</w:t>
            </w:r>
            <w:r w:rsidRPr="00FA79EC">
              <w:rPr>
                <w:rFonts w:ascii="Verdana" w:eastAsia="Times New Roman" w:hAnsi="Verdana" w:cs="Times New Roman"/>
                <w:sz w:val="20"/>
                <w:szCs w:val="20"/>
              </w:rPr>
              <w:t>% de la apropiación de inver</w:t>
            </w:r>
            <w:r w:rsidR="00A750DC" w:rsidRPr="00FA79EC">
              <w:rPr>
                <w:rFonts w:ascii="Verdana" w:eastAsia="Times New Roman" w:hAnsi="Verdana" w:cs="Times New Roman"/>
                <w:sz w:val="20"/>
                <w:szCs w:val="20"/>
              </w:rPr>
              <w:t xml:space="preserve">sión, frente a una meta del </w:t>
            </w:r>
            <w:r w:rsidR="00AD06F9">
              <w:rPr>
                <w:rFonts w:ascii="Verdana" w:eastAsia="Times New Roman" w:hAnsi="Verdana" w:cs="Times New Roman"/>
                <w:sz w:val="20"/>
                <w:szCs w:val="20"/>
              </w:rPr>
              <w:t>30</w:t>
            </w:r>
            <w:r w:rsidR="002837B2">
              <w:rPr>
                <w:rFonts w:ascii="Verdana" w:eastAsia="Times New Roman" w:hAnsi="Verdana" w:cs="Times New Roman"/>
                <w:sz w:val="20"/>
                <w:szCs w:val="20"/>
              </w:rPr>
              <w:t>,</w:t>
            </w:r>
            <w:r w:rsidR="00AD06F9">
              <w:rPr>
                <w:rFonts w:ascii="Verdana" w:eastAsia="Times New Roman" w:hAnsi="Verdana" w:cs="Times New Roman"/>
                <w:sz w:val="20"/>
                <w:szCs w:val="20"/>
              </w:rPr>
              <w:t>08</w:t>
            </w:r>
            <w:r w:rsidRPr="00FA79EC">
              <w:rPr>
                <w:rFonts w:ascii="Verdana" w:eastAsia="Times New Roman" w:hAnsi="Verdana" w:cs="Times New Roman"/>
                <w:sz w:val="20"/>
                <w:szCs w:val="20"/>
              </w:rPr>
              <w:t>%</w:t>
            </w:r>
            <w:r w:rsidR="007849E6" w:rsidRPr="00FA79EC">
              <w:rPr>
                <w:rFonts w:ascii="Verdana" w:eastAsia="Times New Roman" w:hAnsi="Verdana" w:cs="Times New Roman"/>
                <w:sz w:val="20"/>
                <w:szCs w:val="20"/>
              </w:rPr>
              <w:t>,</w:t>
            </w:r>
            <w:r w:rsidR="007849E6">
              <w:rPr>
                <w:rFonts w:ascii="Verdana" w:eastAsia="Times New Roman" w:hAnsi="Verdana" w:cs="Times New Roman"/>
                <w:sz w:val="20"/>
                <w:szCs w:val="20"/>
              </w:rPr>
              <w:t xml:space="preserve"> </w:t>
            </w:r>
            <w:r w:rsidR="00AD06F9">
              <w:rPr>
                <w:rFonts w:ascii="Verdana" w:hAnsi="Verdana" w:cs="Arial"/>
                <w:sz w:val="20"/>
                <w:szCs w:val="20"/>
                <w:lang w:val="es-CO"/>
              </w:rPr>
              <w:t>Déficit de 14.627,2 millones 1)Déficit de 1.329,3 por el rubro de Contrapartidas,</w:t>
            </w:r>
            <w:r w:rsidR="00AD06F9" w:rsidRPr="00994555">
              <w:rPr>
                <w:rFonts w:ascii="Verdana" w:hAnsi="Verdana" w:cs="Arial"/>
                <w:sz w:val="20"/>
                <w:szCs w:val="20"/>
              </w:rPr>
              <w:t>debido a que</w:t>
            </w:r>
            <w:r w:rsidR="00AD06F9">
              <w:rPr>
                <w:rFonts w:ascii="Verdana" w:hAnsi="Verdana" w:cs="Arial"/>
                <w:sz w:val="20"/>
                <w:szCs w:val="20"/>
              </w:rPr>
              <w:t xml:space="preserve"> no se tramitaron todos los contratos que se tenían previstos para el mes de septiembre 2) Déficit de 13.094,5 millones, debido a que no se tramitaron </w:t>
            </w:r>
            <w:r w:rsidR="00AD06F9">
              <w:rPr>
                <w:rFonts w:ascii="Verdana" w:hAnsi="Verdana" w:cs="Arial"/>
                <w:sz w:val="20"/>
                <w:szCs w:val="20"/>
              </w:rPr>
              <w:lastRenderedPageBreak/>
              <w:t>todas las facturas y suscripción de contratos que se tenían previstas para el rubro de Administración de recursos.3) Déficit de 203,4 millones por Fortalecimiento de las capacidades tecnológicas debido que no se tramitaron todas las facturas que se tenían previstas  para este mes.</w:t>
            </w:r>
          </w:p>
          <w:p w:rsidR="00426224" w:rsidRDefault="00426224" w:rsidP="00E31078">
            <w:pPr>
              <w:jc w:val="both"/>
              <w:rPr>
                <w:rFonts w:ascii="Verdana" w:hAnsi="Verdana" w:cs="Arial"/>
                <w:sz w:val="20"/>
                <w:szCs w:val="20"/>
              </w:rPr>
            </w:pPr>
          </w:p>
          <w:p w:rsidR="00EB4BEE" w:rsidRDefault="00EB4BEE" w:rsidP="00EB4BEE">
            <w:pPr>
              <w:jc w:val="both"/>
              <w:rPr>
                <w:rFonts w:ascii="Verdana" w:hAnsi="Verdana" w:cs="Arial"/>
                <w:sz w:val="20"/>
                <w:szCs w:val="20"/>
              </w:rPr>
            </w:pPr>
            <w:r w:rsidRPr="007C68D7">
              <w:rPr>
                <w:rFonts w:ascii="Verdana" w:hAnsi="Verdana" w:cs="Arial"/>
                <w:sz w:val="20"/>
                <w:szCs w:val="20"/>
              </w:rPr>
              <w:t>La ejecución de los gastos de inversión estuvo distribuida así:</w:t>
            </w:r>
          </w:p>
          <w:p w:rsidR="00EB4BEE" w:rsidRDefault="00EB4BEE" w:rsidP="00EB4BEE">
            <w:pPr>
              <w:jc w:val="both"/>
              <w:rPr>
                <w:rFonts w:ascii="Verdana" w:hAnsi="Verdana" w:cs="Arial"/>
                <w:sz w:val="20"/>
                <w:szCs w:val="20"/>
              </w:rPr>
            </w:pPr>
            <w:r>
              <w:rPr>
                <w:rFonts w:ascii="Verdana" w:hAnsi="Verdana" w:cs="Arial"/>
                <w:sz w:val="20"/>
                <w:szCs w:val="20"/>
              </w:rPr>
              <w:t>1)</w:t>
            </w:r>
            <w:r>
              <w:t xml:space="preserve"> </w:t>
            </w:r>
            <w:r w:rsidRPr="00BD3100">
              <w:rPr>
                <w:rFonts w:ascii="Verdana" w:hAnsi="Verdana" w:cs="Arial"/>
                <w:sz w:val="20"/>
                <w:szCs w:val="20"/>
              </w:rPr>
              <w:t>Fortalecimiento De La Oferta Académica Internacional De Colombia En El Marco De La Cooperación Sur-Sur</w:t>
            </w:r>
            <w:r>
              <w:rPr>
                <w:rFonts w:ascii="Verdana" w:hAnsi="Verdana" w:cs="Arial"/>
                <w:sz w:val="20"/>
                <w:szCs w:val="20"/>
              </w:rPr>
              <w:t xml:space="preserve"> con el 25,89% de la ejecución de inversión, equivalente a 1.323,6 para la ejecución total del pago del contrato con el ICETEX.</w:t>
            </w:r>
          </w:p>
          <w:p w:rsidR="00EB4BEE" w:rsidRDefault="00EB4BEE" w:rsidP="00EB4BEE">
            <w:pPr>
              <w:jc w:val="both"/>
              <w:rPr>
                <w:rFonts w:ascii="Verdana" w:hAnsi="Verdana" w:cs="Arial"/>
                <w:sz w:val="20"/>
                <w:szCs w:val="20"/>
              </w:rPr>
            </w:pPr>
            <w:r>
              <w:rPr>
                <w:rFonts w:ascii="Verdana" w:hAnsi="Verdana" w:cs="Arial"/>
                <w:sz w:val="20"/>
                <w:szCs w:val="20"/>
              </w:rPr>
              <w:t xml:space="preserve">2) </w:t>
            </w:r>
            <w:r>
              <w:t>I</w:t>
            </w:r>
            <w:r w:rsidRPr="00BD6CAD">
              <w:rPr>
                <w:rFonts w:ascii="Verdana" w:hAnsi="Verdana" w:cs="Arial"/>
                <w:sz w:val="20"/>
                <w:szCs w:val="20"/>
              </w:rPr>
              <w:t>mplementación de proyectos de cooperación internacional no reembolsable con aporte de recursos de contrapartida nacional</w:t>
            </w:r>
            <w:r>
              <w:rPr>
                <w:rFonts w:ascii="Verdana" w:hAnsi="Verdana" w:cs="Arial"/>
                <w:sz w:val="20"/>
                <w:szCs w:val="20"/>
              </w:rPr>
              <w:t xml:space="preserve"> con el 8,98% de la ejecución de inversión, equivalente a 459,1 millones para el pago del Convenio interadministrativo con el Hospital local de Tauramena y el Convenio de asociación con La Fundación Plan.</w:t>
            </w:r>
          </w:p>
          <w:p w:rsidR="00EB4BEE" w:rsidRPr="007C68D7" w:rsidRDefault="00EB4BEE" w:rsidP="00EB4BEE">
            <w:pPr>
              <w:jc w:val="both"/>
              <w:rPr>
                <w:rFonts w:ascii="Verdana" w:hAnsi="Verdana" w:cs="Arial"/>
                <w:sz w:val="20"/>
                <w:szCs w:val="20"/>
              </w:rPr>
            </w:pPr>
            <w:r>
              <w:rPr>
                <w:rFonts w:ascii="Verdana" w:hAnsi="Verdana" w:cs="Arial"/>
                <w:sz w:val="20"/>
                <w:szCs w:val="20"/>
              </w:rPr>
              <w:t>3</w:t>
            </w:r>
            <w:r w:rsidRPr="007C68D7">
              <w:rPr>
                <w:rFonts w:ascii="Verdana" w:hAnsi="Verdana" w:cs="Arial"/>
                <w:sz w:val="20"/>
                <w:szCs w:val="20"/>
              </w:rPr>
              <w:t xml:space="preserve">) Administración de Recursos de Cooperación con el </w:t>
            </w:r>
            <w:r>
              <w:rPr>
                <w:rFonts w:ascii="Verdana" w:hAnsi="Verdana" w:cs="Arial"/>
                <w:sz w:val="20"/>
                <w:szCs w:val="20"/>
              </w:rPr>
              <w:t>61,29</w:t>
            </w:r>
            <w:r w:rsidRPr="007C68D7">
              <w:rPr>
                <w:rFonts w:ascii="Verdana" w:hAnsi="Verdana" w:cs="Arial"/>
                <w:sz w:val="20"/>
                <w:szCs w:val="20"/>
              </w:rPr>
              <w:t xml:space="preserve">% de la ejecución en inversión, equivalente a </w:t>
            </w:r>
            <w:r>
              <w:rPr>
                <w:rFonts w:ascii="Verdana" w:hAnsi="Verdana" w:cs="Arial"/>
                <w:sz w:val="20"/>
                <w:szCs w:val="20"/>
              </w:rPr>
              <w:t>3.133,6</w:t>
            </w:r>
            <w:r w:rsidRPr="007C68D7">
              <w:rPr>
                <w:rFonts w:ascii="Verdana" w:hAnsi="Verdana" w:cs="Arial"/>
                <w:sz w:val="20"/>
                <w:szCs w:val="20"/>
              </w:rPr>
              <w:t xml:space="preserve"> millones, distribuidos así:</w:t>
            </w:r>
          </w:p>
          <w:p w:rsidR="00EB4BEE" w:rsidRDefault="00EB4BEE" w:rsidP="00EB4BEE">
            <w:pPr>
              <w:jc w:val="both"/>
              <w:rPr>
                <w:rFonts w:ascii="Verdana" w:hAnsi="Verdana" w:cs="Arial"/>
                <w:sz w:val="20"/>
                <w:szCs w:val="20"/>
              </w:rPr>
            </w:pPr>
            <w:r>
              <w:rPr>
                <w:rFonts w:ascii="Verdana" w:hAnsi="Verdana" w:cs="Arial"/>
                <w:sz w:val="20"/>
                <w:szCs w:val="20"/>
              </w:rPr>
              <w:t xml:space="preserve">a) 338,2 millones, pagos del proyecto </w:t>
            </w:r>
            <w:r w:rsidRPr="008B4BA6">
              <w:rPr>
                <w:rFonts w:ascii="Verdana" w:hAnsi="Verdana" w:cs="Arial"/>
                <w:sz w:val="20"/>
                <w:szCs w:val="20"/>
              </w:rPr>
              <w:t xml:space="preserve">PMR </w:t>
            </w:r>
            <w:r>
              <w:rPr>
                <w:rFonts w:ascii="Verdana" w:hAnsi="Verdana" w:cs="Arial"/>
                <w:sz w:val="20"/>
                <w:szCs w:val="20"/>
              </w:rPr>
              <w:t>Banco M</w:t>
            </w:r>
            <w:r w:rsidRPr="008B4BA6">
              <w:rPr>
                <w:rFonts w:ascii="Verdana" w:hAnsi="Verdana" w:cs="Arial"/>
                <w:sz w:val="20"/>
                <w:szCs w:val="20"/>
              </w:rPr>
              <w:t>undial</w:t>
            </w:r>
            <w:r>
              <w:rPr>
                <w:rFonts w:ascii="Verdana" w:hAnsi="Verdana" w:cs="Arial"/>
                <w:sz w:val="20"/>
                <w:szCs w:val="20"/>
              </w:rPr>
              <w:t xml:space="preserve"> (</w:t>
            </w:r>
            <w:proofErr w:type="spellStart"/>
            <w:r w:rsidRPr="008B4BA6">
              <w:rPr>
                <w:rFonts w:ascii="Verdana" w:hAnsi="Verdana" w:cs="Arial"/>
                <w:sz w:val="20"/>
                <w:szCs w:val="20"/>
              </w:rPr>
              <w:t>Agitos</w:t>
            </w:r>
            <w:proofErr w:type="spellEnd"/>
            <w:r w:rsidRPr="008B4BA6">
              <w:rPr>
                <w:rFonts w:ascii="Verdana" w:hAnsi="Verdana" w:cs="Arial"/>
                <w:sz w:val="20"/>
                <w:szCs w:val="20"/>
              </w:rPr>
              <w:t xml:space="preserve"> </w:t>
            </w:r>
            <w:proofErr w:type="spellStart"/>
            <w:r w:rsidRPr="008B4BA6">
              <w:rPr>
                <w:rFonts w:ascii="Verdana" w:hAnsi="Verdana" w:cs="Arial"/>
                <w:sz w:val="20"/>
                <w:szCs w:val="20"/>
              </w:rPr>
              <w:t>Foundation</w:t>
            </w:r>
            <w:proofErr w:type="spellEnd"/>
            <w:r>
              <w:rPr>
                <w:rFonts w:ascii="Verdana" w:hAnsi="Verdana" w:cs="Arial"/>
                <w:sz w:val="20"/>
                <w:szCs w:val="20"/>
              </w:rPr>
              <w:t>).</w:t>
            </w:r>
          </w:p>
          <w:p w:rsidR="00EB4BEE" w:rsidRPr="007C68D7" w:rsidRDefault="00EB4BEE" w:rsidP="00EB4BEE">
            <w:pPr>
              <w:jc w:val="both"/>
              <w:rPr>
                <w:rFonts w:ascii="Verdana" w:hAnsi="Verdana" w:cs="Arial"/>
                <w:sz w:val="20"/>
                <w:szCs w:val="20"/>
              </w:rPr>
            </w:pPr>
            <w:r>
              <w:rPr>
                <w:rFonts w:ascii="Verdana" w:hAnsi="Verdana" w:cs="Arial"/>
                <w:sz w:val="20"/>
                <w:szCs w:val="20"/>
              </w:rPr>
              <w:t>b</w:t>
            </w:r>
            <w:r w:rsidRPr="007C68D7">
              <w:rPr>
                <w:rFonts w:ascii="Verdana" w:hAnsi="Verdana" w:cs="Arial"/>
                <w:sz w:val="20"/>
                <w:szCs w:val="20"/>
              </w:rPr>
              <w:t xml:space="preserve">) </w:t>
            </w:r>
            <w:r>
              <w:rPr>
                <w:rFonts w:ascii="Verdana" w:hAnsi="Verdana" w:cs="Arial"/>
                <w:sz w:val="20"/>
                <w:szCs w:val="20"/>
              </w:rPr>
              <w:t>1.188,1</w:t>
            </w:r>
            <w:r w:rsidRPr="007C68D7">
              <w:rPr>
                <w:rFonts w:ascii="Verdana" w:hAnsi="Verdana" w:cs="Arial"/>
                <w:sz w:val="20"/>
                <w:szCs w:val="20"/>
              </w:rPr>
              <w:t xml:space="preserve"> millones, pagos realizados en el marco del proyecto “Estrategia regional de emprendimiento” financiado con recursos donados por la Unión Europea.</w:t>
            </w:r>
          </w:p>
          <w:p w:rsidR="00EB4BEE" w:rsidRDefault="00EB4BEE" w:rsidP="00EB4BEE">
            <w:pPr>
              <w:jc w:val="both"/>
              <w:rPr>
                <w:rFonts w:ascii="Verdana" w:hAnsi="Verdana" w:cs="Arial"/>
                <w:sz w:val="20"/>
                <w:szCs w:val="20"/>
              </w:rPr>
            </w:pPr>
            <w:r>
              <w:rPr>
                <w:rFonts w:ascii="Verdana" w:hAnsi="Verdana" w:cs="Arial"/>
                <w:sz w:val="20"/>
                <w:szCs w:val="20"/>
              </w:rPr>
              <w:t>c</w:t>
            </w:r>
            <w:r w:rsidRPr="007C68D7">
              <w:rPr>
                <w:rFonts w:ascii="Verdana" w:hAnsi="Verdana" w:cs="Arial"/>
                <w:sz w:val="20"/>
                <w:szCs w:val="20"/>
              </w:rPr>
              <w:t xml:space="preserve">) </w:t>
            </w:r>
            <w:r>
              <w:rPr>
                <w:rFonts w:ascii="Verdana" w:hAnsi="Verdana" w:cs="Arial"/>
                <w:sz w:val="20"/>
                <w:szCs w:val="20"/>
              </w:rPr>
              <w:t>1.389,0</w:t>
            </w:r>
            <w:r w:rsidRPr="007C68D7">
              <w:rPr>
                <w:rFonts w:ascii="Verdana" w:hAnsi="Verdana" w:cs="Arial"/>
                <w:sz w:val="20"/>
                <w:szCs w:val="20"/>
              </w:rPr>
              <w:t xml:space="preserve"> millones, pagos del proyecto de desminado terrestre en el marco del convenio de subvención firmado con la fundación Howard Buffet.</w:t>
            </w:r>
          </w:p>
          <w:p w:rsidR="00EB4BEE" w:rsidRDefault="00EB4BEE" w:rsidP="00EB4BEE">
            <w:pPr>
              <w:jc w:val="both"/>
              <w:rPr>
                <w:rFonts w:ascii="Verdana" w:hAnsi="Verdana" w:cs="Arial"/>
                <w:sz w:val="20"/>
                <w:szCs w:val="20"/>
              </w:rPr>
            </w:pPr>
            <w:r>
              <w:rPr>
                <w:rFonts w:ascii="Verdana" w:hAnsi="Verdana" w:cs="Arial"/>
                <w:sz w:val="20"/>
                <w:szCs w:val="20"/>
              </w:rPr>
              <w:t>d) 210,2 millones del proyecto Fondo Verde del Clima.</w:t>
            </w:r>
          </w:p>
          <w:p w:rsidR="00EB4BEE" w:rsidRDefault="00EB4BEE" w:rsidP="00EB4BEE">
            <w:pPr>
              <w:jc w:val="both"/>
              <w:rPr>
                <w:rFonts w:ascii="Verdana" w:hAnsi="Verdana" w:cs="Arial"/>
                <w:sz w:val="20"/>
                <w:szCs w:val="20"/>
              </w:rPr>
            </w:pPr>
            <w:r>
              <w:rPr>
                <w:rFonts w:ascii="Verdana" w:hAnsi="Verdana" w:cs="Arial"/>
                <w:sz w:val="20"/>
                <w:szCs w:val="20"/>
              </w:rPr>
              <w:t>e) 8,0 millones del Proyecto con Corporación Andina de Fomento-CAF.</w:t>
            </w:r>
          </w:p>
          <w:p w:rsidR="00EB4BEE" w:rsidRPr="007C68D7" w:rsidRDefault="00EB4BEE" w:rsidP="00EB4BEE">
            <w:pPr>
              <w:jc w:val="both"/>
              <w:rPr>
                <w:rFonts w:ascii="Verdana" w:hAnsi="Verdana" w:cs="Arial"/>
                <w:sz w:val="20"/>
                <w:szCs w:val="20"/>
              </w:rPr>
            </w:pPr>
          </w:p>
          <w:p w:rsidR="00157F71" w:rsidRPr="00FA79EC" w:rsidRDefault="00EB4BEE" w:rsidP="00EB4BEE">
            <w:pPr>
              <w:jc w:val="both"/>
              <w:rPr>
                <w:rFonts w:ascii="Verdana" w:hAnsi="Verdana"/>
                <w:color w:val="FF0000"/>
                <w:sz w:val="20"/>
                <w:szCs w:val="20"/>
              </w:rPr>
            </w:pPr>
            <w:r>
              <w:rPr>
                <w:rFonts w:ascii="Verdana" w:hAnsi="Verdana" w:cs="Arial"/>
                <w:sz w:val="20"/>
                <w:szCs w:val="20"/>
              </w:rPr>
              <w:t>4</w:t>
            </w:r>
            <w:r w:rsidRPr="007C68D7">
              <w:rPr>
                <w:rFonts w:ascii="Verdana" w:hAnsi="Verdana" w:cs="Arial"/>
                <w:sz w:val="20"/>
                <w:szCs w:val="20"/>
              </w:rPr>
              <w:t xml:space="preserve">) Fortalecimiento de las capacidades tecnológicas de la información en APC-COLOMBIA, con el </w:t>
            </w:r>
            <w:r>
              <w:rPr>
                <w:rFonts w:ascii="Verdana" w:hAnsi="Verdana" w:cs="Arial"/>
                <w:sz w:val="20"/>
                <w:szCs w:val="20"/>
              </w:rPr>
              <w:t>3,84</w:t>
            </w:r>
            <w:r w:rsidRPr="007C68D7">
              <w:rPr>
                <w:rFonts w:ascii="Verdana" w:hAnsi="Verdana" w:cs="Arial"/>
                <w:sz w:val="20"/>
                <w:szCs w:val="20"/>
              </w:rPr>
              <w:t xml:space="preserve">% de la ejecución en inversión, equivalente a </w:t>
            </w:r>
            <w:r>
              <w:rPr>
                <w:rFonts w:ascii="Verdana" w:hAnsi="Verdana" w:cs="Arial"/>
                <w:sz w:val="20"/>
                <w:szCs w:val="20"/>
              </w:rPr>
              <w:t>196,1</w:t>
            </w:r>
            <w:r w:rsidRPr="007C68D7">
              <w:rPr>
                <w:rFonts w:ascii="Verdana" w:hAnsi="Verdana" w:cs="Arial"/>
                <w:sz w:val="20"/>
                <w:szCs w:val="20"/>
              </w:rPr>
              <w:t xml:space="preserve"> millones para </w:t>
            </w:r>
            <w:r>
              <w:rPr>
                <w:rFonts w:ascii="Verdana" w:hAnsi="Verdana" w:cs="Arial"/>
                <w:sz w:val="20"/>
                <w:szCs w:val="20"/>
              </w:rPr>
              <w:t xml:space="preserve">el pago de </w:t>
            </w:r>
            <w:r w:rsidRPr="007C68D7">
              <w:rPr>
                <w:rFonts w:ascii="Verdana" w:hAnsi="Verdana" w:cs="Arial"/>
                <w:sz w:val="20"/>
                <w:szCs w:val="20"/>
              </w:rPr>
              <w:t>los servicios profesionales para la gestión del proyecto</w:t>
            </w:r>
            <w:r>
              <w:rPr>
                <w:rFonts w:ascii="Verdana" w:hAnsi="Verdana" w:cs="Arial"/>
                <w:sz w:val="20"/>
                <w:szCs w:val="20"/>
              </w:rPr>
              <w:t xml:space="preserve"> y el pago </w:t>
            </w:r>
            <w:r>
              <w:rPr>
                <w:rFonts w:ascii="Verdana" w:hAnsi="Verdana" w:cs="Arial"/>
                <w:sz w:val="20"/>
                <w:szCs w:val="20"/>
              </w:rPr>
              <w:lastRenderedPageBreak/>
              <w:t xml:space="preserve">facturas de contratos de </w:t>
            </w:r>
            <w:proofErr w:type="spellStart"/>
            <w:r>
              <w:rPr>
                <w:rFonts w:ascii="Verdana" w:hAnsi="Verdana" w:cs="Arial"/>
                <w:sz w:val="20"/>
                <w:szCs w:val="20"/>
              </w:rPr>
              <w:t>Ximil</w:t>
            </w:r>
            <w:proofErr w:type="spellEnd"/>
            <w:r>
              <w:rPr>
                <w:rFonts w:ascii="Verdana" w:hAnsi="Verdana" w:cs="Arial"/>
                <w:sz w:val="20"/>
                <w:szCs w:val="20"/>
              </w:rPr>
              <w:t xml:space="preserve"> Technologies SAS,</w:t>
            </w:r>
            <w:r w:rsidRPr="00D8725F">
              <w:rPr>
                <w:rFonts w:ascii="Verdana" w:hAnsi="Verdana" w:cs="Arial"/>
                <w:sz w:val="20"/>
                <w:szCs w:val="20"/>
              </w:rPr>
              <w:t xml:space="preserve"> con la </w:t>
            </w:r>
            <w:proofErr w:type="spellStart"/>
            <w:r w:rsidRPr="00D8725F">
              <w:rPr>
                <w:rFonts w:ascii="Verdana" w:hAnsi="Verdana" w:cs="Arial"/>
                <w:sz w:val="20"/>
                <w:szCs w:val="20"/>
              </w:rPr>
              <w:t>Un&amp;On</w:t>
            </w:r>
            <w:proofErr w:type="spellEnd"/>
            <w:r w:rsidRPr="00D8725F">
              <w:rPr>
                <w:rFonts w:ascii="Verdana" w:hAnsi="Verdana" w:cs="Arial"/>
                <w:sz w:val="20"/>
                <w:szCs w:val="20"/>
              </w:rPr>
              <w:t xml:space="preserve"> Soluciones Sistemas De Información S.A.S</w:t>
            </w:r>
            <w:r>
              <w:rPr>
                <w:rFonts w:ascii="Verdana" w:hAnsi="Verdana" w:cs="Arial"/>
                <w:sz w:val="20"/>
                <w:szCs w:val="20"/>
              </w:rPr>
              <w:t>, ITS</w:t>
            </w:r>
            <w:r w:rsidRPr="00DC5FA6">
              <w:rPr>
                <w:rFonts w:ascii="Verdana" w:hAnsi="Verdana" w:cs="Arial"/>
                <w:sz w:val="20"/>
                <w:szCs w:val="20"/>
              </w:rPr>
              <w:t xml:space="preserve"> Soluciones Estratégicas</w:t>
            </w:r>
            <w:r>
              <w:rPr>
                <w:rFonts w:ascii="Verdana" w:hAnsi="Verdana" w:cs="Arial"/>
                <w:sz w:val="20"/>
                <w:szCs w:val="20"/>
              </w:rPr>
              <w:t xml:space="preserve"> S.A.S y</w:t>
            </w:r>
            <w:r>
              <w:t xml:space="preserve"> </w:t>
            </w:r>
            <w:r w:rsidRPr="006533FC">
              <w:rPr>
                <w:rFonts w:ascii="Verdana" w:hAnsi="Verdana" w:cs="Arial"/>
                <w:sz w:val="20"/>
                <w:szCs w:val="20"/>
              </w:rPr>
              <w:t>RFID Tecnología SAS</w:t>
            </w:r>
            <w:r>
              <w:rPr>
                <w:rFonts w:ascii="Verdana" w:hAnsi="Verdana" w:cs="Arial"/>
                <w:sz w:val="20"/>
                <w:szCs w:val="20"/>
              </w:rPr>
              <w:t>.</w:t>
            </w:r>
          </w:p>
        </w:tc>
      </w:tr>
    </w:tbl>
    <w:p w:rsidR="00146E14" w:rsidRDefault="00146E14" w:rsidP="00FC33F3">
      <w:pPr>
        <w:jc w:val="both"/>
        <w:rPr>
          <w:rFonts w:ascii="Verdana" w:hAnsi="Verdana"/>
          <w:b/>
          <w:sz w:val="22"/>
        </w:rPr>
      </w:pPr>
    </w:p>
    <w:p w:rsidR="00770C44" w:rsidRDefault="00770C44" w:rsidP="00FC33F3">
      <w:pPr>
        <w:jc w:val="both"/>
        <w:rPr>
          <w:rFonts w:ascii="Verdana" w:hAnsi="Verdana"/>
          <w:b/>
          <w:sz w:val="22"/>
        </w:rPr>
      </w:pPr>
    </w:p>
    <w:p w:rsidR="00770C44" w:rsidRDefault="00770C44" w:rsidP="00FC33F3">
      <w:pPr>
        <w:jc w:val="both"/>
        <w:rPr>
          <w:rFonts w:ascii="Verdana" w:hAnsi="Verdana"/>
          <w:b/>
          <w:sz w:val="22"/>
        </w:rPr>
      </w:pPr>
    </w:p>
    <w:p w:rsidR="00FC33F3" w:rsidRPr="000F2DF5" w:rsidRDefault="00FC33F3" w:rsidP="00FC33F3">
      <w:pPr>
        <w:jc w:val="both"/>
        <w:rPr>
          <w:rFonts w:ascii="Verdana" w:hAnsi="Verdana"/>
          <w:b/>
          <w:sz w:val="22"/>
        </w:rPr>
      </w:pPr>
      <w:r w:rsidRPr="000F2DF5">
        <w:rPr>
          <w:rFonts w:ascii="Verdana" w:hAnsi="Verdana"/>
          <w:b/>
          <w:sz w:val="22"/>
        </w:rPr>
        <w:t>Proyecto de inversión C-0208-1000-6: Fortalecimiento de la Oferta Académica Internacional de Colombia en el Marco de la Cooperación Sur-Sur, Nacional</w:t>
      </w:r>
    </w:p>
    <w:tbl>
      <w:tblPr>
        <w:tblStyle w:val="Tablaconcuadrcula"/>
        <w:tblW w:w="0" w:type="auto"/>
        <w:tblLook w:val="04A0" w:firstRow="1" w:lastRow="0" w:firstColumn="1" w:lastColumn="0" w:noHBand="0" w:noVBand="1"/>
      </w:tblPr>
      <w:tblGrid>
        <w:gridCol w:w="6638"/>
        <w:gridCol w:w="6640"/>
      </w:tblGrid>
      <w:tr w:rsidR="00FC33F3" w:rsidRPr="003A4A1F" w:rsidTr="007337BD">
        <w:tc>
          <w:tcPr>
            <w:tcW w:w="6638" w:type="dxa"/>
          </w:tcPr>
          <w:p w:rsidR="00FC33F3" w:rsidRPr="00FD4820" w:rsidRDefault="00FC33F3" w:rsidP="007337BD">
            <w:pPr>
              <w:jc w:val="center"/>
              <w:rPr>
                <w:rFonts w:ascii="Verdana" w:hAnsi="Verdana"/>
                <w:b/>
              </w:rPr>
            </w:pPr>
            <w:r w:rsidRPr="00FD4820">
              <w:rPr>
                <w:rFonts w:ascii="Verdana" w:hAnsi="Verdana"/>
                <w:b/>
              </w:rPr>
              <w:t>Compromisos</w:t>
            </w:r>
          </w:p>
        </w:tc>
        <w:tc>
          <w:tcPr>
            <w:tcW w:w="6640" w:type="dxa"/>
          </w:tcPr>
          <w:p w:rsidR="00FC33F3" w:rsidRPr="00FD4820" w:rsidRDefault="00FC33F3" w:rsidP="007337BD">
            <w:pPr>
              <w:jc w:val="center"/>
              <w:rPr>
                <w:rFonts w:ascii="Verdana" w:hAnsi="Verdana"/>
                <w:b/>
              </w:rPr>
            </w:pPr>
            <w:r w:rsidRPr="00FD4820">
              <w:rPr>
                <w:rFonts w:ascii="Verdana" w:hAnsi="Verdana"/>
                <w:b/>
              </w:rPr>
              <w:t>Obligaciones</w:t>
            </w:r>
          </w:p>
        </w:tc>
      </w:tr>
      <w:tr w:rsidR="00FC33F3" w:rsidRPr="003A4A1F" w:rsidTr="007337BD">
        <w:tc>
          <w:tcPr>
            <w:tcW w:w="6638"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BE00FA">
              <w:rPr>
                <w:rFonts w:ascii="Verdana" w:hAnsi="Verdana" w:cs="Arial"/>
                <w:sz w:val="20"/>
                <w:szCs w:val="20"/>
              </w:rPr>
              <w:t>1.323,6</w:t>
            </w:r>
            <w:r w:rsidR="00D41457">
              <w:rPr>
                <w:rFonts w:ascii="Verdana" w:hAnsi="Verdana" w:cs="Arial"/>
                <w:sz w:val="20"/>
                <w:szCs w:val="20"/>
              </w:rPr>
              <w:t xml:space="preserve"> </w:t>
            </w:r>
            <w:r w:rsidRPr="00FD4820">
              <w:rPr>
                <w:rFonts w:ascii="Verdana" w:hAnsi="Verdana"/>
                <w:sz w:val="20"/>
              </w:rPr>
              <w:t xml:space="preserve">/ 1.323,6 = </w:t>
            </w:r>
            <w:r w:rsidR="00D41457">
              <w:rPr>
                <w:rFonts w:ascii="Verdana" w:hAnsi="Verdana"/>
                <w:sz w:val="20"/>
              </w:rPr>
              <w:t>100</w:t>
            </w:r>
            <w:r w:rsidRPr="00FD4820">
              <w:rPr>
                <w:rFonts w:ascii="Verdana" w:hAnsi="Verdana"/>
                <w:sz w:val="20"/>
              </w:rPr>
              <w:t>%.</w:t>
            </w:r>
          </w:p>
          <w:p w:rsidR="00FC33F3" w:rsidRPr="00FD4820" w:rsidRDefault="00FC33F3" w:rsidP="007337BD">
            <w:pPr>
              <w:jc w:val="both"/>
              <w:rPr>
                <w:rFonts w:ascii="Verdana" w:hAnsi="Verdana"/>
                <w:sz w:val="20"/>
              </w:rPr>
            </w:pPr>
          </w:p>
          <w:p w:rsidR="00FC33F3" w:rsidRPr="00FD4820" w:rsidRDefault="00D41457" w:rsidP="00BD02AA">
            <w:pPr>
              <w:jc w:val="both"/>
            </w:pPr>
            <w:r>
              <w:rPr>
                <w:rFonts w:ascii="Verdana" w:hAnsi="Verdana"/>
                <w:sz w:val="20"/>
              </w:rPr>
              <w:t xml:space="preserve">Se ejecutaron recursos por valor de 1.323,5 millones equivalentes al 100%, presentando </w:t>
            </w:r>
            <w:r w:rsidR="00BD02AA">
              <w:rPr>
                <w:rFonts w:ascii="Verdana" w:hAnsi="Verdana"/>
                <w:sz w:val="20"/>
              </w:rPr>
              <w:t>el</w:t>
            </w:r>
            <w:r>
              <w:rPr>
                <w:rFonts w:ascii="Verdana" w:hAnsi="Verdana"/>
                <w:sz w:val="20"/>
              </w:rPr>
              <w:t xml:space="preserve"> total</w:t>
            </w:r>
            <w:r w:rsidR="00BD02AA">
              <w:rPr>
                <w:rFonts w:ascii="Verdana" w:hAnsi="Verdana"/>
                <w:sz w:val="20"/>
              </w:rPr>
              <w:t xml:space="preserve"> de</w:t>
            </w:r>
            <w:r>
              <w:rPr>
                <w:rFonts w:ascii="Verdana" w:hAnsi="Verdana"/>
                <w:sz w:val="20"/>
              </w:rPr>
              <w:t xml:space="preserve"> ejecución, debido </w:t>
            </w:r>
            <w:r w:rsidR="00BD02AA">
              <w:rPr>
                <w:rFonts w:ascii="Verdana" w:hAnsi="Verdana"/>
                <w:sz w:val="20"/>
              </w:rPr>
              <w:t xml:space="preserve">a </w:t>
            </w:r>
            <w:r>
              <w:rPr>
                <w:rFonts w:ascii="Verdana" w:hAnsi="Verdana"/>
                <w:sz w:val="20"/>
              </w:rPr>
              <w:t xml:space="preserve">que </w:t>
            </w:r>
            <w:r w:rsidR="00BD02AA">
              <w:rPr>
                <w:rFonts w:ascii="Verdana" w:hAnsi="Verdana"/>
                <w:sz w:val="20"/>
              </w:rPr>
              <w:t>ya</w:t>
            </w:r>
            <w:r w:rsidR="008F6DE4">
              <w:rPr>
                <w:rFonts w:ascii="Verdana" w:hAnsi="Verdana"/>
                <w:sz w:val="20"/>
              </w:rPr>
              <w:t xml:space="preserve"> se </w:t>
            </w:r>
            <w:r w:rsidR="00BD02AA">
              <w:rPr>
                <w:rFonts w:ascii="Verdana" w:hAnsi="Verdana"/>
                <w:sz w:val="20"/>
              </w:rPr>
              <w:t>tramito</w:t>
            </w:r>
            <w:r w:rsidR="008F6DE4">
              <w:rPr>
                <w:rFonts w:ascii="Verdana" w:hAnsi="Verdana"/>
                <w:sz w:val="20"/>
              </w:rPr>
              <w:t xml:space="preserve"> </w:t>
            </w:r>
            <w:r w:rsidRPr="00D41457">
              <w:rPr>
                <w:rFonts w:ascii="Verdana" w:hAnsi="Verdana"/>
                <w:sz w:val="20"/>
              </w:rPr>
              <w:t>el convenio con el ICETEX, el objeto del presente convenio es constituir y regular un fondo en administración denominado “Fondo apoyo a movilidad estudiantil y académica de la alianza pacífico” a estudiantes investigadores y docentes</w:t>
            </w:r>
            <w:r w:rsidR="00BA24A6">
              <w:rPr>
                <w:rFonts w:ascii="Verdana" w:hAnsi="Verdana"/>
                <w:sz w:val="20"/>
              </w:rPr>
              <w:t>.</w:t>
            </w:r>
          </w:p>
        </w:tc>
        <w:tc>
          <w:tcPr>
            <w:tcW w:w="6640"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Obligaciones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BE00FA">
              <w:rPr>
                <w:rFonts w:ascii="Verdana" w:hAnsi="Verdana"/>
                <w:sz w:val="20"/>
              </w:rPr>
              <w:t>1.323,6 / 1.326,6</w:t>
            </w:r>
            <w:r w:rsidRPr="00FD4820">
              <w:rPr>
                <w:rFonts w:ascii="Verdana" w:hAnsi="Verdana"/>
                <w:sz w:val="20"/>
              </w:rPr>
              <w:t xml:space="preserve"> = </w:t>
            </w:r>
            <w:r w:rsidR="00BE00FA">
              <w:rPr>
                <w:rFonts w:ascii="Verdana" w:hAnsi="Verdana"/>
                <w:sz w:val="20"/>
              </w:rPr>
              <w:t>100</w:t>
            </w:r>
            <w:r w:rsidRPr="00FD4820">
              <w:rPr>
                <w:rFonts w:ascii="Verdana" w:hAnsi="Verdana"/>
                <w:sz w:val="20"/>
              </w:rPr>
              <w:t>%.</w:t>
            </w:r>
          </w:p>
          <w:p w:rsidR="00FC33F3" w:rsidRPr="00FD4820" w:rsidRDefault="00FC33F3" w:rsidP="007337BD">
            <w:pPr>
              <w:jc w:val="both"/>
              <w:rPr>
                <w:rFonts w:ascii="Verdana" w:hAnsi="Verdana"/>
                <w:sz w:val="20"/>
              </w:rPr>
            </w:pPr>
          </w:p>
          <w:p w:rsidR="00FC33F3" w:rsidRPr="00FD4820" w:rsidRDefault="00BA24A6" w:rsidP="00BE00FA">
            <w:pPr>
              <w:jc w:val="both"/>
            </w:pPr>
            <w:r w:rsidRPr="00FA79EC">
              <w:rPr>
                <w:rFonts w:ascii="Verdana" w:eastAsia="Times New Roman" w:hAnsi="Verdana" w:cs="Times New Roman"/>
                <w:sz w:val="20"/>
                <w:szCs w:val="20"/>
              </w:rPr>
              <w:t xml:space="preserve">Se obligaron recursos por valor de </w:t>
            </w:r>
            <w:r w:rsidR="00BE00FA">
              <w:rPr>
                <w:rFonts w:ascii="Verdana" w:eastAsia="Times New Roman" w:hAnsi="Verdana" w:cs="Times New Roman"/>
                <w:sz w:val="20"/>
                <w:szCs w:val="20"/>
              </w:rPr>
              <w:t>1.323,6</w:t>
            </w:r>
            <w:r w:rsidRPr="00FA79EC">
              <w:rPr>
                <w:rFonts w:ascii="Verdana" w:eastAsia="Times New Roman" w:hAnsi="Verdana" w:cs="Times New Roman"/>
                <w:sz w:val="20"/>
                <w:szCs w:val="20"/>
              </w:rPr>
              <w:t xml:space="preserve"> millones equivalentes al </w:t>
            </w:r>
            <w:r w:rsidR="00BE00FA">
              <w:rPr>
                <w:rFonts w:ascii="Verdana" w:eastAsia="Times New Roman" w:hAnsi="Verdana" w:cs="Times New Roman"/>
                <w:sz w:val="20"/>
                <w:szCs w:val="20"/>
              </w:rPr>
              <w:t>100</w:t>
            </w:r>
            <w:r w:rsidRPr="00FA79EC">
              <w:rPr>
                <w:rFonts w:ascii="Verdana" w:eastAsia="Times New Roman" w:hAnsi="Verdana" w:cs="Times New Roman"/>
                <w:sz w:val="20"/>
                <w:szCs w:val="20"/>
              </w:rPr>
              <w:t xml:space="preserve">% de la apropiación de inversión, frente a una meta del </w:t>
            </w:r>
            <w:r w:rsidR="00BE00FA">
              <w:rPr>
                <w:rFonts w:ascii="Verdana" w:eastAsia="Times New Roman" w:hAnsi="Verdana" w:cs="Times New Roman"/>
                <w:sz w:val="20"/>
                <w:szCs w:val="20"/>
              </w:rPr>
              <w:t>100</w:t>
            </w:r>
            <w:r w:rsidRPr="00FA79EC">
              <w:rPr>
                <w:rFonts w:ascii="Verdana" w:eastAsia="Times New Roman" w:hAnsi="Verdana" w:cs="Times New Roman"/>
                <w:sz w:val="20"/>
                <w:szCs w:val="20"/>
              </w:rPr>
              <w:t>%,</w:t>
            </w:r>
            <w:r>
              <w:rPr>
                <w:rFonts w:ascii="Verdana" w:eastAsia="Times New Roman" w:hAnsi="Verdana" w:cs="Times New Roman"/>
                <w:sz w:val="20"/>
                <w:szCs w:val="20"/>
              </w:rPr>
              <w:t xml:space="preserve"> se cumplió la meta, se tramito el </w:t>
            </w:r>
            <w:r w:rsidR="00BE00FA">
              <w:rPr>
                <w:rFonts w:ascii="Verdana" w:eastAsia="Times New Roman" w:hAnsi="Verdana" w:cs="Times New Roman"/>
                <w:sz w:val="20"/>
                <w:szCs w:val="20"/>
              </w:rPr>
              <w:t>segundo</w:t>
            </w:r>
            <w:r>
              <w:rPr>
                <w:rFonts w:ascii="Verdana" w:eastAsia="Times New Roman" w:hAnsi="Verdana" w:cs="Times New Roman"/>
                <w:sz w:val="20"/>
                <w:szCs w:val="20"/>
              </w:rPr>
              <w:t xml:space="preserve"> pago del convenio con el </w:t>
            </w:r>
            <w:r w:rsidRPr="00D41457">
              <w:rPr>
                <w:rFonts w:ascii="Verdana" w:hAnsi="Verdana"/>
                <w:sz w:val="20"/>
              </w:rPr>
              <w:t>ICETEX, el objeto del presente convenio es constituir y regular un fondo en administración denominado “Fondo apoyo a movilidad estudiantil y académica de la alianza pacífico” a estudiantes investigadores y docentes</w:t>
            </w:r>
            <w:r>
              <w:rPr>
                <w:rFonts w:ascii="Verdana" w:hAnsi="Verdana"/>
                <w:sz w:val="20"/>
              </w:rPr>
              <w:t>.</w:t>
            </w:r>
          </w:p>
        </w:tc>
      </w:tr>
    </w:tbl>
    <w:p w:rsidR="00FC33F3" w:rsidRPr="003A4A1F" w:rsidRDefault="00FC33F3" w:rsidP="00FC33F3">
      <w:pPr>
        <w:jc w:val="both"/>
        <w:rPr>
          <w:highlight w:val="yellow"/>
        </w:rPr>
      </w:pPr>
    </w:p>
    <w:p w:rsidR="00A34364" w:rsidRDefault="00A34364" w:rsidP="00FC33F3">
      <w:pPr>
        <w:jc w:val="both"/>
        <w:rPr>
          <w:rFonts w:ascii="Verdana" w:hAnsi="Verdana"/>
          <w:b/>
          <w:sz w:val="22"/>
        </w:rPr>
      </w:pPr>
    </w:p>
    <w:p w:rsidR="00396EB5" w:rsidRDefault="00396EB5" w:rsidP="00FC33F3">
      <w:pPr>
        <w:jc w:val="both"/>
        <w:rPr>
          <w:rFonts w:ascii="Verdana" w:hAnsi="Verdana"/>
          <w:b/>
          <w:sz w:val="22"/>
        </w:rPr>
      </w:pPr>
    </w:p>
    <w:p w:rsidR="00FC33F3" w:rsidRPr="00FD4820" w:rsidRDefault="00FC33F3" w:rsidP="00FC33F3">
      <w:pPr>
        <w:jc w:val="both"/>
        <w:rPr>
          <w:rFonts w:ascii="Verdana" w:hAnsi="Verdana"/>
          <w:b/>
          <w:sz w:val="22"/>
        </w:rPr>
      </w:pPr>
      <w:r w:rsidRPr="00FD4820">
        <w:rPr>
          <w:rFonts w:ascii="Verdana" w:hAnsi="Verdana"/>
          <w:b/>
          <w:sz w:val="22"/>
        </w:rPr>
        <w:t>Proyecto de inversión C-0208-1000-7: Implementación de Proyectos de Cooperación Internacional No Reembolsable con Aporte de Recursos de Contrapartida, Nacional</w:t>
      </w:r>
    </w:p>
    <w:tbl>
      <w:tblPr>
        <w:tblStyle w:val="Tablaconcuadrcula"/>
        <w:tblW w:w="0" w:type="auto"/>
        <w:tblLook w:val="04A0" w:firstRow="1" w:lastRow="0" w:firstColumn="1" w:lastColumn="0" w:noHBand="0" w:noVBand="1"/>
      </w:tblPr>
      <w:tblGrid>
        <w:gridCol w:w="6638"/>
        <w:gridCol w:w="6640"/>
      </w:tblGrid>
      <w:tr w:rsidR="00FC33F3" w:rsidRPr="00FD4820" w:rsidTr="007337BD">
        <w:tc>
          <w:tcPr>
            <w:tcW w:w="6638" w:type="dxa"/>
          </w:tcPr>
          <w:p w:rsidR="00FC33F3" w:rsidRPr="00FD4820" w:rsidRDefault="00FC33F3" w:rsidP="007337BD">
            <w:pPr>
              <w:jc w:val="center"/>
              <w:rPr>
                <w:rFonts w:ascii="Verdana" w:hAnsi="Verdana"/>
                <w:b/>
              </w:rPr>
            </w:pPr>
            <w:r w:rsidRPr="00FD4820">
              <w:rPr>
                <w:rFonts w:ascii="Verdana" w:hAnsi="Verdana"/>
                <w:b/>
              </w:rPr>
              <w:t>Compromisos</w:t>
            </w:r>
          </w:p>
        </w:tc>
        <w:tc>
          <w:tcPr>
            <w:tcW w:w="6640" w:type="dxa"/>
          </w:tcPr>
          <w:p w:rsidR="00FC33F3" w:rsidRPr="00FD4820" w:rsidRDefault="00FC33F3" w:rsidP="007337BD">
            <w:pPr>
              <w:jc w:val="center"/>
              <w:rPr>
                <w:rFonts w:ascii="Verdana" w:hAnsi="Verdana"/>
                <w:b/>
              </w:rPr>
            </w:pPr>
            <w:r w:rsidRPr="00FD4820">
              <w:rPr>
                <w:rFonts w:ascii="Verdana" w:hAnsi="Verdana"/>
                <w:b/>
              </w:rPr>
              <w:t>Obligaciones</w:t>
            </w:r>
          </w:p>
        </w:tc>
      </w:tr>
      <w:tr w:rsidR="00FC33F3" w:rsidRPr="003A4A1F" w:rsidTr="007337BD">
        <w:tc>
          <w:tcPr>
            <w:tcW w:w="6638" w:type="dxa"/>
            <w:vAlign w:val="center"/>
          </w:tcPr>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FC33F3" w:rsidRPr="00FD4820"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1B741B">
              <w:rPr>
                <w:rFonts w:ascii="Verdana" w:hAnsi="Verdana"/>
                <w:sz w:val="20"/>
              </w:rPr>
              <w:t>1.194,3</w:t>
            </w:r>
            <w:r w:rsidRPr="00FD4820">
              <w:rPr>
                <w:rFonts w:ascii="Verdana" w:hAnsi="Verdana"/>
                <w:sz w:val="20"/>
              </w:rPr>
              <w:t xml:space="preserve"> / 2.647,2 = </w:t>
            </w:r>
            <w:r w:rsidR="001B741B">
              <w:rPr>
                <w:rFonts w:ascii="Verdana" w:hAnsi="Verdana"/>
                <w:sz w:val="20"/>
              </w:rPr>
              <w:t>45,12</w:t>
            </w:r>
            <w:r w:rsidRPr="00FD4820">
              <w:rPr>
                <w:rFonts w:ascii="Verdana" w:hAnsi="Verdana"/>
                <w:sz w:val="20"/>
              </w:rPr>
              <w:t>%.</w:t>
            </w:r>
          </w:p>
          <w:p w:rsidR="00FC33F3" w:rsidRDefault="00FC33F3" w:rsidP="007337BD">
            <w:pPr>
              <w:jc w:val="both"/>
              <w:rPr>
                <w:rFonts w:ascii="Verdana" w:hAnsi="Verdana"/>
                <w:sz w:val="20"/>
              </w:rPr>
            </w:pPr>
          </w:p>
          <w:p w:rsidR="00FC33F3" w:rsidRPr="00FD4820" w:rsidRDefault="000F2DF5" w:rsidP="00FA3B4F">
            <w:pPr>
              <w:jc w:val="both"/>
            </w:pPr>
            <w:r>
              <w:rPr>
                <w:rFonts w:ascii="Verdana" w:hAnsi="Verdana"/>
                <w:sz w:val="20"/>
              </w:rPr>
              <w:t xml:space="preserve">Se ejecutaron recursos por valor de </w:t>
            </w:r>
            <w:r w:rsidR="002D07F0">
              <w:rPr>
                <w:rFonts w:ascii="Verdana" w:hAnsi="Verdana"/>
                <w:sz w:val="20"/>
              </w:rPr>
              <w:t>1.194,3</w:t>
            </w:r>
            <w:r w:rsidR="001E0B18">
              <w:rPr>
                <w:rFonts w:ascii="Verdana" w:hAnsi="Verdana"/>
                <w:sz w:val="20"/>
              </w:rPr>
              <w:t xml:space="preserve"> millones equivalentes al </w:t>
            </w:r>
            <w:r w:rsidR="002D07F0">
              <w:rPr>
                <w:rFonts w:ascii="Verdana" w:hAnsi="Verdana"/>
                <w:sz w:val="20"/>
              </w:rPr>
              <w:t>45,12</w:t>
            </w:r>
            <w:r>
              <w:rPr>
                <w:rFonts w:ascii="Verdana" w:hAnsi="Verdana"/>
                <w:sz w:val="20"/>
              </w:rPr>
              <w:t xml:space="preserve">%, </w:t>
            </w:r>
            <w:r w:rsidR="00B43230" w:rsidRPr="00377A56">
              <w:rPr>
                <w:rFonts w:ascii="Verdana" w:hAnsi="Verdana"/>
                <w:sz w:val="20"/>
                <w:szCs w:val="20"/>
              </w:rPr>
              <w:t xml:space="preserve">frente a una meta del </w:t>
            </w:r>
            <w:r w:rsidR="002D07F0">
              <w:rPr>
                <w:rFonts w:ascii="Verdana" w:hAnsi="Verdana"/>
                <w:sz w:val="20"/>
                <w:szCs w:val="20"/>
              </w:rPr>
              <w:t>100</w:t>
            </w:r>
            <w:r w:rsidR="00B43230" w:rsidRPr="00377A56">
              <w:rPr>
                <w:rFonts w:ascii="Verdana" w:hAnsi="Verdana"/>
                <w:sz w:val="20"/>
                <w:szCs w:val="20"/>
              </w:rPr>
              <w:t xml:space="preserve">%, </w:t>
            </w:r>
            <w:r w:rsidR="00126B25">
              <w:rPr>
                <w:rFonts w:ascii="Verdana" w:hAnsi="Verdana"/>
                <w:sz w:val="20"/>
                <w:szCs w:val="20"/>
              </w:rPr>
              <w:t xml:space="preserve">presentando un Déficit en la ejecución de </w:t>
            </w:r>
            <w:r w:rsidR="002D07F0">
              <w:rPr>
                <w:rFonts w:ascii="Verdana" w:hAnsi="Verdana"/>
                <w:sz w:val="20"/>
                <w:szCs w:val="20"/>
              </w:rPr>
              <w:t>1.452,9</w:t>
            </w:r>
            <w:r w:rsidR="00126B25">
              <w:rPr>
                <w:rFonts w:ascii="Verdana" w:hAnsi="Verdana"/>
                <w:sz w:val="20"/>
                <w:szCs w:val="20"/>
              </w:rPr>
              <w:t xml:space="preserve"> millones, no se tramitaron todos los contratos que se t</w:t>
            </w:r>
            <w:r w:rsidR="002D07F0">
              <w:rPr>
                <w:rFonts w:ascii="Verdana" w:hAnsi="Verdana"/>
                <w:sz w:val="20"/>
                <w:szCs w:val="20"/>
              </w:rPr>
              <w:t>enían previstos para el mes de septiembre</w:t>
            </w:r>
            <w:r w:rsidR="00126B25">
              <w:rPr>
                <w:rFonts w:ascii="Verdana" w:hAnsi="Verdana"/>
                <w:sz w:val="20"/>
                <w:szCs w:val="20"/>
              </w:rPr>
              <w:t xml:space="preserve">, a pesar del déficit presentado </w:t>
            </w:r>
            <w:r w:rsidR="00126B25">
              <w:rPr>
                <w:rFonts w:ascii="Verdana" w:hAnsi="Verdana"/>
                <w:sz w:val="20"/>
              </w:rPr>
              <w:t xml:space="preserve">se tramitaron </w:t>
            </w:r>
            <w:r w:rsidR="001E0B18">
              <w:rPr>
                <w:rFonts w:ascii="Verdana" w:hAnsi="Verdana" w:cs="Arial"/>
                <w:sz w:val="20"/>
                <w:szCs w:val="20"/>
              </w:rPr>
              <w:t xml:space="preserve">los </w:t>
            </w:r>
            <w:r w:rsidR="005E3093">
              <w:rPr>
                <w:rFonts w:ascii="Verdana" w:hAnsi="Verdana" w:cs="Arial"/>
                <w:sz w:val="20"/>
                <w:szCs w:val="20"/>
              </w:rPr>
              <w:t xml:space="preserve">Convenios interadministrativos, con el Hospital </w:t>
            </w:r>
            <w:r w:rsidR="005E3093">
              <w:rPr>
                <w:rFonts w:ascii="Verdana" w:hAnsi="Verdana" w:cs="Arial"/>
                <w:sz w:val="20"/>
                <w:szCs w:val="20"/>
              </w:rPr>
              <w:lastRenderedPageBreak/>
              <w:t xml:space="preserve">local de Tauramena, Convenio de asociación con La Fundación Plan, </w:t>
            </w:r>
            <w:r w:rsidR="005E3093" w:rsidRPr="00101571">
              <w:rPr>
                <w:rFonts w:ascii="Verdana" w:hAnsi="Verdana" w:cs="Arial"/>
                <w:sz w:val="20"/>
                <w:szCs w:val="20"/>
              </w:rPr>
              <w:t xml:space="preserve">Convenio </w:t>
            </w:r>
            <w:r w:rsidR="005E3093">
              <w:rPr>
                <w:rFonts w:ascii="Verdana" w:hAnsi="Verdana" w:cs="Arial"/>
                <w:sz w:val="20"/>
                <w:szCs w:val="20"/>
              </w:rPr>
              <w:t xml:space="preserve">con </w:t>
            </w:r>
            <w:r w:rsidR="005E3093" w:rsidRPr="00101571">
              <w:rPr>
                <w:rFonts w:ascii="Verdana" w:hAnsi="Verdana" w:cs="Arial"/>
                <w:sz w:val="20"/>
                <w:szCs w:val="20"/>
              </w:rPr>
              <w:t>Cuso International</w:t>
            </w:r>
            <w:r w:rsidR="005E3093">
              <w:rPr>
                <w:rFonts w:ascii="Verdana" w:hAnsi="Verdana" w:cs="Arial"/>
                <w:sz w:val="20"/>
                <w:szCs w:val="20"/>
              </w:rPr>
              <w:t xml:space="preserve"> y Convenio con el </w:t>
            </w:r>
            <w:r w:rsidR="005E3093" w:rsidRPr="00101571">
              <w:rPr>
                <w:rFonts w:ascii="Verdana" w:hAnsi="Verdana" w:cs="Arial"/>
                <w:sz w:val="20"/>
                <w:szCs w:val="20"/>
              </w:rPr>
              <w:t>Instituto De Investigación De Recursos Biológicos Alexander Von Humboldt</w:t>
            </w:r>
            <w:r w:rsidR="005E3093">
              <w:rPr>
                <w:rFonts w:ascii="Verdana" w:hAnsi="Verdana" w:cs="Arial"/>
                <w:sz w:val="20"/>
                <w:szCs w:val="20"/>
              </w:rPr>
              <w:t>.</w:t>
            </w:r>
          </w:p>
        </w:tc>
        <w:tc>
          <w:tcPr>
            <w:tcW w:w="6640" w:type="dxa"/>
            <w:vAlign w:val="center"/>
          </w:tcPr>
          <w:p w:rsidR="00FC33F3" w:rsidRPr="00FD4820" w:rsidRDefault="00FC33F3" w:rsidP="007337BD">
            <w:pPr>
              <w:jc w:val="both"/>
              <w:rPr>
                <w:rFonts w:ascii="Verdana" w:hAnsi="Verdana"/>
                <w:sz w:val="20"/>
              </w:rPr>
            </w:pPr>
            <w:r w:rsidRPr="00FD4820">
              <w:rPr>
                <w:rFonts w:ascii="Verdana" w:hAnsi="Verdana"/>
                <w:b/>
                <w:sz w:val="20"/>
              </w:rPr>
              <w:lastRenderedPageBreak/>
              <w:t>Indicador:</w:t>
            </w:r>
            <w:r w:rsidRPr="00FD4820">
              <w:rPr>
                <w:rFonts w:ascii="Verdana" w:hAnsi="Verdana"/>
                <w:sz w:val="20"/>
              </w:rPr>
              <w:t xml:space="preserve"> Ejecución Obligaciones / Apropiación Vigente.</w:t>
            </w:r>
          </w:p>
          <w:p w:rsidR="00FC33F3" w:rsidRDefault="00FC33F3" w:rsidP="007337B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D530EF">
              <w:rPr>
                <w:rFonts w:ascii="Verdana" w:hAnsi="Verdana"/>
                <w:sz w:val="20"/>
              </w:rPr>
              <w:t>459,</w:t>
            </w:r>
            <w:r w:rsidR="00126B25">
              <w:rPr>
                <w:rFonts w:ascii="Verdana" w:hAnsi="Verdana"/>
                <w:sz w:val="20"/>
              </w:rPr>
              <w:t>1</w:t>
            </w:r>
            <w:r w:rsidR="009D3532" w:rsidRPr="00FD4820">
              <w:rPr>
                <w:rFonts w:ascii="Verdana" w:hAnsi="Verdana"/>
                <w:sz w:val="20"/>
              </w:rPr>
              <w:t xml:space="preserve"> / 2.647,2 = </w:t>
            </w:r>
            <w:r w:rsidR="00126B25">
              <w:rPr>
                <w:rFonts w:ascii="Verdana" w:hAnsi="Verdana"/>
                <w:sz w:val="20"/>
              </w:rPr>
              <w:t>17,34</w:t>
            </w:r>
            <w:r w:rsidR="009D3532" w:rsidRPr="00FD4820">
              <w:rPr>
                <w:rFonts w:ascii="Verdana" w:hAnsi="Verdana"/>
                <w:sz w:val="20"/>
              </w:rPr>
              <w:t>%.</w:t>
            </w:r>
          </w:p>
          <w:p w:rsidR="009D3532" w:rsidRDefault="009D3532" w:rsidP="007337BD">
            <w:pPr>
              <w:jc w:val="both"/>
              <w:rPr>
                <w:rFonts w:ascii="Verdana" w:hAnsi="Verdana"/>
                <w:sz w:val="20"/>
              </w:rPr>
            </w:pPr>
          </w:p>
          <w:p w:rsidR="009D3532" w:rsidRDefault="009D3532" w:rsidP="007337BD">
            <w:pPr>
              <w:jc w:val="both"/>
              <w:rPr>
                <w:rFonts w:ascii="Verdana" w:hAnsi="Verdana"/>
                <w:sz w:val="20"/>
              </w:rPr>
            </w:pPr>
            <w:r w:rsidRPr="00FA79EC">
              <w:rPr>
                <w:rFonts w:ascii="Verdana" w:eastAsia="Times New Roman" w:hAnsi="Verdana" w:cs="Times New Roman"/>
                <w:sz w:val="20"/>
                <w:szCs w:val="20"/>
              </w:rPr>
              <w:t xml:space="preserve">Se obligaron recursos por valor de </w:t>
            </w:r>
            <w:r w:rsidR="00126B25">
              <w:rPr>
                <w:rFonts w:ascii="Verdana" w:hAnsi="Verdana"/>
                <w:sz w:val="20"/>
              </w:rPr>
              <w:t>459,1</w:t>
            </w:r>
            <w:r>
              <w:rPr>
                <w:rFonts w:ascii="Verdana" w:hAnsi="Verdana"/>
                <w:sz w:val="20"/>
              </w:rPr>
              <w:t xml:space="preserve"> </w:t>
            </w:r>
            <w:r w:rsidRPr="00FA79EC">
              <w:rPr>
                <w:rFonts w:ascii="Verdana" w:eastAsia="Times New Roman" w:hAnsi="Verdana" w:cs="Times New Roman"/>
                <w:sz w:val="20"/>
                <w:szCs w:val="20"/>
              </w:rPr>
              <w:t xml:space="preserve">millones equivalentes al </w:t>
            </w:r>
            <w:r w:rsidR="00126B25">
              <w:rPr>
                <w:rFonts w:ascii="Verdana" w:eastAsia="Times New Roman" w:hAnsi="Verdana" w:cs="Times New Roman"/>
                <w:sz w:val="20"/>
                <w:szCs w:val="20"/>
              </w:rPr>
              <w:t>17,34</w:t>
            </w:r>
            <w:r w:rsidRPr="00FA79EC">
              <w:rPr>
                <w:rFonts w:ascii="Verdana" w:eastAsia="Times New Roman" w:hAnsi="Verdana" w:cs="Times New Roman"/>
                <w:sz w:val="20"/>
                <w:szCs w:val="20"/>
              </w:rPr>
              <w:t xml:space="preserve">% de la apropiación de inversión, frente a una meta del </w:t>
            </w:r>
            <w:r w:rsidR="009445D5">
              <w:rPr>
                <w:rFonts w:ascii="Verdana" w:eastAsia="Times New Roman" w:hAnsi="Verdana" w:cs="Times New Roman"/>
                <w:sz w:val="20"/>
                <w:szCs w:val="20"/>
              </w:rPr>
              <w:t>67</w:t>
            </w:r>
            <w:r w:rsidR="00D530EF">
              <w:rPr>
                <w:rFonts w:ascii="Verdana" w:eastAsia="Times New Roman" w:hAnsi="Verdana" w:cs="Times New Roman"/>
                <w:sz w:val="20"/>
                <w:szCs w:val="20"/>
              </w:rPr>
              <w:t>,</w:t>
            </w:r>
            <w:r w:rsidR="009445D5">
              <w:rPr>
                <w:rFonts w:ascii="Verdana" w:eastAsia="Times New Roman" w:hAnsi="Verdana" w:cs="Times New Roman"/>
                <w:sz w:val="20"/>
                <w:szCs w:val="20"/>
              </w:rPr>
              <w:t>56</w:t>
            </w:r>
            <w:r w:rsidRPr="00FA79EC">
              <w:rPr>
                <w:rFonts w:ascii="Verdana" w:eastAsia="Times New Roman" w:hAnsi="Verdana" w:cs="Times New Roman"/>
                <w:sz w:val="20"/>
                <w:szCs w:val="20"/>
              </w:rPr>
              <w:t>%,</w:t>
            </w:r>
            <w:r>
              <w:rPr>
                <w:rFonts w:ascii="Verdana" w:eastAsia="Times New Roman" w:hAnsi="Verdana" w:cs="Times New Roman"/>
                <w:sz w:val="20"/>
                <w:szCs w:val="20"/>
              </w:rPr>
              <w:t xml:space="preserve"> </w:t>
            </w:r>
            <w:r w:rsidR="004A32FE">
              <w:rPr>
                <w:rFonts w:ascii="Verdana" w:eastAsia="Times New Roman" w:hAnsi="Verdana" w:cs="Times New Roman"/>
                <w:sz w:val="20"/>
                <w:szCs w:val="20"/>
              </w:rPr>
              <w:t xml:space="preserve">presentado déficit en las obligaciones presupuestales </w:t>
            </w:r>
            <w:r w:rsidR="009445D5">
              <w:rPr>
                <w:rFonts w:ascii="Verdana" w:eastAsia="Times New Roman" w:hAnsi="Verdana" w:cs="Times New Roman"/>
                <w:sz w:val="20"/>
                <w:szCs w:val="20"/>
              </w:rPr>
              <w:t xml:space="preserve">de </w:t>
            </w:r>
            <w:r w:rsidR="00EB4292">
              <w:rPr>
                <w:rFonts w:ascii="Verdana" w:eastAsia="Times New Roman" w:hAnsi="Verdana" w:cs="Times New Roman"/>
                <w:sz w:val="20"/>
                <w:szCs w:val="20"/>
              </w:rPr>
              <w:t>1.329,3</w:t>
            </w:r>
            <w:r w:rsidR="004A32FE">
              <w:rPr>
                <w:rFonts w:ascii="Verdana" w:eastAsia="Times New Roman" w:hAnsi="Verdana" w:cs="Times New Roman"/>
                <w:sz w:val="20"/>
                <w:szCs w:val="20"/>
              </w:rPr>
              <w:t xml:space="preserve"> </w:t>
            </w:r>
            <w:r w:rsidR="009445D5">
              <w:rPr>
                <w:rFonts w:ascii="Verdana" w:eastAsia="Times New Roman" w:hAnsi="Verdana" w:cs="Times New Roman"/>
                <w:sz w:val="20"/>
                <w:szCs w:val="20"/>
              </w:rPr>
              <w:t>millones,</w:t>
            </w:r>
            <w:r w:rsidR="004A32FE">
              <w:rPr>
                <w:rFonts w:ascii="Verdana" w:hAnsi="Verdana"/>
                <w:sz w:val="20"/>
                <w:szCs w:val="20"/>
              </w:rPr>
              <w:t xml:space="preserve"> no se tramitaron todos los contratos que se tenían previstos para el mes de </w:t>
            </w:r>
            <w:r w:rsidR="009445D5">
              <w:rPr>
                <w:rFonts w:ascii="Verdana" w:hAnsi="Verdana"/>
                <w:sz w:val="20"/>
                <w:szCs w:val="20"/>
              </w:rPr>
              <w:t>septiembre</w:t>
            </w:r>
            <w:r w:rsidR="004A32FE">
              <w:rPr>
                <w:rFonts w:ascii="Verdana" w:eastAsia="Times New Roman" w:hAnsi="Verdana" w:cs="Times New Roman"/>
                <w:sz w:val="20"/>
                <w:szCs w:val="20"/>
              </w:rPr>
              <w:t xml:space="preserve"> y así mismo sus </w:t>
            </w:r>
            <w:r w:rsidR="00C91DA0">
              <w:rPr>
                <w:rFonts w:ascii="Verdana" w:eastAsia="Times New Roman" w:hAnsi="Verdana" w:cs="Times New Roman"/>
                <w:sz w:val="20"/>
                <w:szCs w:val="20"/>
              </w:rPr>
              <w:t xml:space="preserve">respectivos </w:t>
            </w:r>
            <w:r w:rsidR="004A32FE">
              <w:rPr>
                <w:rFonts w:ascii="Verdana" w:eastAsia="Times New Roman" w:hAnsi="Verdana" w:cs="Times New Roman"/>
                <w:sz w:val="20"/>
                <w:szCs w:val="20"/>
              </w:rPr>
              <w:t>pagos.</w:t>
            </w:r>
            <w:r w:rsidR="004A32FE">
              <w:rPr>
                <w:rFonts w:ascii="Verdana" w:hAnsi="Verdana"/>
                <w:sz w:val="20"/>
              </w:rPr>
              <w:t xml:space="preserve"> </w:t>
            </w:r>
          </w:p>
          <w:p w:rsidR="009D3532" w:rsidRPr="00FD4820" w:rsidRDefault="009D3532" w:rsidP="007337BD">
            <w:pPr>
              <w:jc w:val="both"/>
              <w:rPr>
                <w:rFonts w:ascii="Verdana" w:hAnsi="Verdana"/>
                <w:sz w:val="20"/>
              </w:rPr>
            </w:pPr>
          </w:p>
          <w:p w:rsidR="00FC33F3" w:rsidRPr="00FD4820" w:rsidRDefault="00FC33F3" w:rsidP="00A7693C">
            <w:pPr>
              <w:jc w:val="both"/>
            </w:pPr>
          </w:p>
        </w:tc>
      </w:tr>
    </w:tbl>
    <w:p w:rsidR="00FC33F3" w:rsidRPr="003A4A1F" w:rsidRDefault="00FC33F3" w:rsidP="00B9595B">
      <w:pPr>
        <w:rPr>
          <w:rFonts w:ascii="Verdana" w:hAnsi="Verdana"/>
          <w:b/>
          <w:sz w:val="20"/>
          <w:szCs w:val="20"/>
          <w:highlight w:val="yellow"/>
        </w:rPr>
      </w:pPr>
    </w:p>
    <w:p w:rsidR="00A34364" w:rsidRDefault="00A34364" w:rsidP="00560B40">
      <w:pPr>
        <w:jc w:val="both"/>
        <w:rPr>
          <w:rFonts w:ascii="Verdana" w:hAnsi="Verdana"/>
          <w:b/>
          <w:sz w:val="22"/>
        </w:rPr>
      </w:pPr>
    </w:p>
    <w:p w:rsidR="00213FF2" w:rsidRDefault="00213FF2" w:rsidP="00560B40">
      <w:pPr>
        <w:jc w:val="both"/>
        <w:rPr>
          <w:rFonts w:ascii="Verdana" w:hAnsi="Verdana"/>
          <w:b/>
          <w:sz w:val="22"/>
        </w:rPr>
      </w:pPr>
    </w:p>
    <w:p w:rsidR="00283B0B" w:rsidRPr="00210E47" w:rsidRDefault="00283B0B" w:rsidP="00560B40">
      <w:pPr>
        <w:jc w:val="both"/>
        <w:rPr>
          <w:rFonts w:ascii="Verdana" w:hAnsi="Verdana"/>
          <w:b/>
          <w:sz w:val="22"/>
        </w:rPr>
      </w:pPr>
      <w:r w:rsidRPr="00BA0961">
        <w:rPr>
          <w:rFonts w:ascii="Verdana" w:hAnsi="Verdana"/>
          <w:b/>
          <w:sz w:val="22"/>
        </w:rPr>
        <w:t>Pro</w:t>
      </w:r>
      <w:r w:rsidR="00590D81" w:rsidRPr="00BA0961">
        <w:rPr>
          <w:rFonts w:ascii="Verdana" w:hAnsi="Verdana"/>
          <w:b/>
          <w:sz w:val="22"/>
        </w:rPr>
        <w:t>yecto de inversión C-0208-1000-9</w:t>
      </w:r>
      <w:r w:rsidRPr="00BA0961">
        <w:rPr>
          <w:rFonts w:ascii="Verdana" w:hAnsi="Verdana"/>
          <w:b/>
          <w:sz w:val="22"/>
        </w:rPr>
        <w:t xml:space="preserve">: </w:t>
      </w:r>
      <w:r w:rsidR="00590D81" w:rsidRPr="00BA0961">
        <w:rPr>
          <w:rFonts w:ascii="Verdana" w:hAnsi="Verdana"/>
          <w:b/>
          <w:sz w:val="22"/>
        </w:rPr>
        <w:t>Administración, Ejecución y Seguimiento de Recursos de Cooperación Internacional a Nivel Nacional</w:t>
      </w:r>
    </w:p>
    <w:tbl>
      <w:tblPr>
        <w:tblStyle w:val="Tablaconcuadrcula"/>
        <w:tblW w:w="0" w:type="auto"/>
        <w:tblLook w:val="04A0" w:firstRow="1" w:lastRow="0" w:firstColumn="1" w:lastColumn="0" w:noHBand="0" w:noVBand="1"/>
      </w:tblPr>
      <w:tblGrid>
        <w:gridCol w:w="6638"/>
        <w:gridCol w:w="6640"/>
      </w:tblGrid>
      <w:tr w:rsidR="00283B0B" w:rsidRPr="003A4A1F" w:rsidTr="008F217D">
        <w:tc>
          <w:tcPr>
            <w:tcW w:w="6638" w:type="dxa"/>
          </w:tcPr>
          <w:p w:rsidR="00283B0B" w:rsidRPr="00210E47" w:rsidRDefault="00283B0B" w:rsidP="008F217D">
            <w:pPr>
              <w:jc w:val="center"/>
              <w:rPr>
                <w:rFonts w:ascii="Verdana" w:hAnsi="Verdana"/>
                <w:b/>
              </w:rPr>
            </w:pPr>
            <w:r w:rsidRPr="00210E47">
              <w:rPr>
                <w:rFonts w:ascii="Verdana" w:hAnsi="Verdana"/>
                <w:b/>
              </w:rPr>
              <w:t>Compromisos</w:t>
            </w:r>
          </w:p>
        </w:tc>
        <w:tc>
          <w:tcPr>
            <w:tcW w:w="6640" w:type="dxa"/>
          </w:tcPr>
          <w:p w:rsidR="00283B0B" w:rsidRPr="00FD4820" w:rsidRDefault="00283B0B" w:rsidP="008F217D">
            <w:pPr>
              <w:jc w:val="center"/>
              <w:rPr>
                <w:rFonts w:ascii="Verdana" w:hAnsi="Verdana"/>
                <w:b/>
              </w:rPr>
            </w:pPr>
            <w:r w:rsidRPr="00210E47">
              <w:rPr>
                <w:rFonts w:ascii="Verdana" w:hAnsi="Verdana"/>
                <w:b/>
              </w:rPr>
              <w:t>Obligaciones</w:t>
            </w:r>
          </w:p>
        </w:tc>
      </w:tr>
      <w:tr w:rsidR="00283B0B" w:rsidRPr="003A4A1F" w:rsidTr="008F217D">
        <w:tc>
          <w:tcPr>
            <w:tcW w:w="6638" w:type="dxa"/>
            <w:vAlign w:val="center"/>
          </w:tcPr>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Compromisos / Apropiación Vigente.</w:t>
            </w:r>
          </w:p>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F47F7E">
              <w:rPr>
                <w:rFonts w:ascii="Verdana" w:hAnsi="Verdana"/>
                <w:sz w:val="20"/>
              </w:rPr>
              <w:t>17</w:t>
            </w:r>
            <w:r w:rsidR="00D029CB">
              <w:rPr>
                <w:rFonts w:ascii="Verdana" w:hAnsi="Verdana"/>
                <w:sz w:val="20"/>
              </w:rPr>
              <w:t>.</w:t>
            </w:r>
            <w:r w:rsidR="00F47F7E">
              <w:rPr>
                <w:rFonts w:ascii="Verdana" w:hAnsi="Verdana"/>
                <w:sz w:val="20"/>
              </w:rPr>
              <w:t>096</w:t>
            </w:r>
            <w:r w:rsidR="00D029CB">
              <w:rPr>
                <w:rFonts w:ascii="Verdana" w:hAnsi="Verdana"/>
                <w:sz w:val="20"/>
              </w:rPr>
              <w:t>,</w:t>
            </w:r>
            <w:r w:rsidR="00F47F7E">
              <w:rPr>
                <w:rFonts w:ascii="Verdana" w:hAnsi="Verdana"/>
                <w:sz w:val="20"/>
              </w:rPr>
              <w:t>4</w:t>
            </w:r>
            <w:r w:rsidR="00590D81" w:rsidRPr="00FD4820">
              <w:rPr>
                <w:rFonts w:ascii="Verdana" w:hAnsi="Verdana"/>
                <w:sz w:val="20"/>
              </w:rPr>
              <w:t xml:space="preserve"> </w:t>
            </w:r>
            <w:r w:rsidRPr="00FD4820">
              <w:rPr>
                <w:rFonts w:ascii="Verdana" w:hAnsi="Verdana"/>
                <w:sz w:val="20"/>
              </w:rPr>
              <w:t xml:space="preserve">/ </w:t>
            </w:r>
            <w:r w:rsidR="00FD4820">
              <w:rPr>
                <w:rFonts w:ascii="Verdana" w:hAnsi="Verdana"/>
                <w:sz w:val="20"/>
              </w:rPr>
              <w:t xml:space="preserve">60.891,0 = </w:t>
            </w:r>
            <w:r w:rsidR="00F47F7E">
              <w:rPr>
                <w:rFonts w:ascii="Verdana" w:hAnsi="Verdana"/>
                <w:sz w:val="20"/>
              </w:rPr>
              <w:t>28,08</w:t>
            </w:r>
            <w:r w:rsidRPr="00FD4820">
              <w:rPr>
                <w:rFonts w:ascii="Verdana" w:hAnsi="Verdana"/>
                <w:sz w:val="20"/>
              </w:rPr>
              <w:t>%.</w:t>
            </w:r>
          </w:p>
          <w:p w:rsidR="00283B0B" w:rsidRPr="003A4A1F" w:rsidRDefault="00283B0B" w:rsidP="008F217D">
            <w:pPr>
              <w:jc w:val="both"/>
              <w:rPr>
                <w:rFonts w:ascii="Verdana" w:hAnsi="Verdana"/>
                <w:sz w:val="20"/>
                <w:highlight w:val="yellow"/>
              </w:rPr>
            </w:pPr>
          </w:p>
          <w:p w:rsidR="00F47F7E" w:rsidRDefault="00590D81" w:rsidP="000670E3">
            <w:pPr>
              <w:jc w:val="both"/>
              <w:rPr>
                <w:rFonts w:ascii="Verdana" w:hAnsi="Verdana" w:cs="Arial"/>
                <w:sz w:val="20"/>
                <w:szCs w:val="20"/>
              </w:rPr>
            </w:pPr>
            <w:r w:rsidRPr="009337FE">
              <w:rPr>
                <w:rFonts w:ascii="Verdana" w:eastAsia="Times New Roman" w:hAnsi="Verdana" w:cs="Times New Roman"/>
                <w:sz w:val="20"/>
                <w:szCs w:val="20"/>
              </w:rPr>
              <w:t xml:space="preserve">Se ejecutaron recursos por valor de </w:t>
            </w:r>
            <w:r w:rsidR="00F47F7E">
              <w:rPr>
                <w:rFonts w:ascii="Verdana" w:hAnsi="Verdana"/>
                <w:sz w:val="20"/>
              </w:rPr>
              <w:t>17.096,4</w:t>
            </w:r>
            <w:r w:rsidR="005B73E2" w:rsidRPr="00FD4820">
              <w:rPr>
                <w:rFonts w:ascii="Verdana" w:hAnsi="Verdana"/>
                <w:sz w:val="20"/>
              </w:rPr>
              <w:t xml:space="preserve"> </w:t>
            </w:r>
            <w:r w:rsidR="00FD4820" w:rsidRPr="009337FE">
              <w:rPr>
                <w:rFonts w:ascii="Verdana" w:eastAsia="Times New Roman" w:hAnsi="Verdana" w:cs="Times New Roman"/>
                <w:sz w:val="20"/>
                <w:szCs w:val="20"/>
              </w:rPr>
              <w:t xml:space="preserve">millones equivalentes al </w:t>
            </w:r>
            <w:r w:rsidR="00F47F7E">
              <w:rPr>
                <w:rFonts w:ascii="Verdana" w:hAnsi="Verdana"/>
                <w:sz w:val="20"/>
              </w:rPr>
              <w:t>28,08</w:t>
            </w:r>
            <w:r w:rsidRPr="009337FE">
              <w:rPr>
                <w:rFonts w:ascii="Verdana" w:eastAsia="Times New Roman" w:hAnsi="Verdana" w:cs="Times New Roman"/>
                <w:sz w:val="20"/>
                <w:szCs w:val="20"/>
              </w:rPr>
              <w:t xml:space="preserve">% de la apropiación, frente a una meta del </w:t>
            </w:r>
            <w:r w:rsidR="00F47F7E">
              <w:rPr>
                <w:rFonts w:ascii="Verdana" w:eastAsia="Times New Roman" w:hAnsi="Verdana" w:cs="Times New Roman"/>
                <w:sz w:val="20"/>
                <w:szCs w:val="20"/>
              </w:rPr>
              <w:t>29,18</w:t>
            </w:r>
            <w:r w:rsidRPr="009337FE">
              <w:rPr>
                <w:rFonts w:ascii="Verdana" w:eastAsia="Times New Roman" w:hAnsi="Verdana" w:cs="Times New Roman"/>
                <w:sz w:val="20"/>
                <w:szCs w:val="20"/>
              </w:rPr>
              <w:t>%</w:t>
            </w:r>
            <w:r w:rsidR="000670E3" w:rsidRPr="009337FE">
              <w:rPr>
                <w:rFonts w:ascii="Verdana" w:eastAsia="Times New Roman" w:hAnsi="Verdana" w:cs="Times New Roman"/>
                <w:sz w:val="20"/>
                <w:szCs w:val="20"/>
              </w:rPr>
              <w:t>,</w:t>
            </w:r>
            <w:r w:rsidR="000670E3" w:rsidRPr="009337FE">
              <w:rPr>
                <w:rFonts w:ascii="Verdana" w:hAnsi="Verdana"/>
                <w:sz w:val="20"/>
                <w:szCs w:val="20"/>
              </w:rPr>
              <w:t xml:space="preserve"> </w:t>
            </w:r>
            <w:r w:rsidR="009337FE" w:rsidRPr="009337FE">
              <w:rPr>
                <w:rFonts w:ascii="Verdana" w:hAnsi="Verdana"/>
                <w:sz w:val="20"/>
                <w:szCs w:val="20"/>
              </w:rPr>
              <w:t xml:space="preserve">presentando un </w:t>
            </w:r>
            <w:r w:rsidR="00F47F7E">
              <w:rPr>
                <w:rFonts w:ascii="Verdana" w:hAnsi="Verdana" w:cs="Arial"/>
                <w:sz w:val="20"/>
                <w:szCs w:val="20"/>
              </w:rPr>
              <w:t>déficit</w:t>
            </w:r>
            <w:r w:rsidR="005B73E2" w:rsidRPr="00C17A84">
              <w:rPr>
                <w:rFonts w:ascii="Verdana" w:hAnsi="Verdana" w:cs="Arial"/>
                <w:sz w:val="20"/>
                <w:szCs w:val="20"/>
              </w:rPr>
              <w:t xml:space="preserve"> de </w:t>
            </w:r>
            <w:r w:rsidR="00F47F7E">
              <w:rPr>
                <w:rFonts w:ascii="Verdana" w:hAnsi="Verdana" w:cs="Arial"/>
                <w:sz w:val="20"/>
                <w:szCs w:val="20"/>
              </w:rPr>
              <w:t>671,</w:t>
            </w:r>
            <w:r w:rsidR="00D029CB">
              <w:rPr>
                <w:rFonts w:ascii="Verdana" w:hAnsi="Verdana" w:cs="Arial"/>
                <w:sz w:val="20"/>
                <w:szCs w:val="20"/>
              </w:rPr>
              <w:t>8 millones,</w:t>
            </w:r>
            <w:r w:rsidR="00F47F7E">
              <w:rPr>
                <w:rFonts w:ascii="Verdana" w:hAnsi="Verdana"/>
                <w:sz w:val="20"/>
                <w:szCs w:val="20"/>
              </w:rPr>
              <w:t xml:space="preserve"> no se tramitaron todos los contratos que se tenían previstos para el mes de septiembre.</w:t>
            </w:r>
          </w:p>
          <w:p w:rsidR="00F47F7E" w:rsidRDefault="00F47F7E" w:rsidP="000670E3">
            <w:pPr>
              <w:jc w:val="both"/>
              <w:rPr>
                <w:rFonts w:ascii="Verdana" w:hAnsi="Verdana" w:cs="Arial"/>
                <w:sz w:val="20"/>
                <w:szCs w:val="20"/>
              </w:rPr>
            </w:pPr>
          </w:p>
          <w:p w:rsidR="005B73E2" w:rsidRDefault="00D029CB" w:rsidP="000670E3">
            <w:pPr>
              <w:jc w:val="both"/>
              <w:rPr>
                <w:rFonts w:ascii="Verdana" w:hAnsi="Verdana"/>
                <w:sz w:val="20"/>
              </w:rPr>
            </w:pPr>
            <w:r>
              <w:rPr>
                <w:rFonts w:ascii="Verdana" w:hAnsi="Verdana" w:cs="Arial"/>
                <w:sz w:val="20"/>
                <w:szCs w:val="20"/>
              </w:rPr>
              <w:t xml:space="preserve"> </w:t>
            </w:r>
            <w:r w:rsidR="00283B0B" w:rsidRPr="009337FE">
              <w:rPr>
                <w:rFonts w:ascii="Verdana" w:hAnsi="Verdana"/>
                <w:sz w:val="20"/>
              </w:rPr>
              <w:t>Los compromisos estuvieron distribuidos así:</w:t>
            </w:r>
          </w:p>
          <w:p w:rsidR="00F61323" w:rsidRPr="003A4A1F" w:rsidRDefault="00F61323" w:rsidP="000670E3">
            <w:pPr>
              <w:jc w:val="both"/>
              <w:rPr>
                <w:rFonts w:ascii="Verdana" w:hAnsi="Verdana"/>
                <w:sz w:val="20"/>
                <w:szCs w:val="20"/>
                <w:highlight w:val="yellow"/>
              </w:rPr>
            </w:pPr>
          </w:p>
          <w:p w:rsidR="00996CFB" w:rsidRPr="00902BE7" w:rsidRDefault="00996CFB" w:rsidP="00996CFB">
            <w:pPr>
              <w:jc w:val="both"/>
              <w:rPr>
                <w:rFonts w:ascii="Verdana" w:hAnsi="Verdana" w:cs="Arial"/>
                <w:sz w:val="20"/>
                <w:szCs w:val="20"/>
              </w:rPr>
            </w:pPr>
            <w:r w:rsidRPr="00902BE7">
              <w:rPr>
                <w:rFonts w:ascii="Verdana" w:hAnsi="Verdana" w:cs="Arial"/>
                <w:sz w:val="20"/>
                <w:szCs w:val="20"/>
              </w:rPr>
              <w:t xml:space="preserve">a) </w:t>
            </w:r>
            <w:r>
              <w:rPr>
                <w:rFonts w:ascii="Verdana" w:hAnsi="Verdana" w:cs="Arial"/>
                <w:sz w:val="20"/>
                <w:szCs w:val="20"/>
              </w:rPr>
              <w:t>628,8</w:t>
            </w:r>
            <w:r w:rsidRPr="00902BE7">
              <w:rPr>
                <w:rFonts w:ascii="Verdana" w:hAnsi="Verdana" w:cs="Arial"/>
                <w:sz w:val="20"/>
                <w:szCs w:val="20"/>
              </w:rPr>
              <w:t xml:space="preserve"> millones del proyecto, denominado “Inclusión Social de Personas con Discapacidad mediante el Deporte: Fortalecimiento de Estructuras Nacionales Paralímpicas”</w:t>
            </w:r>
          </w:p>
          <w:p w:rsidR="00996CFB" w:rsidRPr="00902BE7" w:rsidRDefault="00996CFB" w:rsidP="00996CFB">
            <w:pPr>
              <w:jc w:val="both"/>
              <w:rPr>
                <w:rFonts w:ascii="Verdana" w:hAnsi="Verdana" w:cs="Arial"/>
                <w:sz w:val="20"/>
                <w:szCs w:val="20"/>
              </w:rPr>
            </w:pPr>
            <w:r>
              <w:rPr>
                <w:rFonts w:ascii="Verdana" w:hAnsi="Verdana" w:cs="Arial"/>
                <w:sz w:val="20"/>
                <w:szCs w:val="20"/>
              </w:rPr>
              <w:t>b) 2.044,8</w:t>
            </w:r>
            <w:r w:rsidRPr="00902BE7">
              <w:rPr>
                <w:rFonts w:ascii="Verdana" w:hAnsi="Verdana" w:cs="Arial"/>
                <w:sz w:val="20"/>
                <w:szCs w:val="20"/>
              </w:rPr>
              <w:t xml:space="preserve"> millones del proyecto “Estrategia regional de emprendimiento” financiado con recursos donados por la Unión Europea.</w:t>
            </w:r>
          </w:p>
          <w:p w:rsidR="00996CFB" w:rsidRDefault="00996CFB" w:rsidP="00996CFB">
            <w:pPr>
              <w:jc w:val="both"/>
              <w:rPr>
                <w:rFonts w:ascii="Verdana" w:hAnsi="Verdana" w:cs="Arial"/>
                <w:sz w:val="20"/>
                <w:szCs w:val="20"/>
              </w:rPr>
            </w:pPr>
            <w:r w:rsidRPr="00902BE7">
              <w:rPr>
                <w:rFonts w:ascii="Verdana" w:hAnsi="Verdana" w:cs="Arial"/>
                <w:sz w:val="20"/>
                <w:szCs w:val="20"/>
              </w:rPr>
              <w:t xml:space="preserve">c) </w:t>
            </w:r>
            <w:r>
              <w:rPr>
                <w:rFonts w:ascii="Verdana" w:hAnsi="Verdana" w:cs="Arial"/>
                <w:sz w:val="20"/>
                <w:szCs w:val="20"/>
              </w:rPr>
              <w:t>14.008,8</w:t>
            </w:r>
            <w:r w:rsidRPr="00902BE7">
              <w:rPr>
                <w:rFonts w:ascii="Verdana" w:hAnsi="Verdana" w:cs="Arial"/>
                <w:sz w:val="20"/>
                <w:szCs w:val="20"/>
              </w:rPr>
              <w:t xml:space="preserve"> millones por cuenta del proyecto de desminado terrestre en el marco del convenio de subvención firmado con la fundación Howard Buffet.</w:t>
            </w:r>
          </w:p>
          <w:p w:rsidR="00996CFB" w:rsidRDefault="00996CFB" w:rsidP="00996CFB">
            <w:pPr>
              <w:jc w:val="both"/>
              <w:rPr>
                <w:rFonts w:ascii="Verdana" w:hAnsi="Verdana" w:cs="Arial"/>
                <w:sz w:val="20"/>
                <w:szCs w:val="20"/>
              </w:rPr>
            </w:pPr>
            <w:r>
              <w:rPr>
                <w:rFonts w:ascii="Verdana" w:hAnsi="Verdana" w:cs="Arial"/>
                <w:sz w:val="20"/>
                <w:szCs w:val="20"/>
              </w:rPr>
              <w:t>d) 393,7 millones del proyecto Fondo Verde del Clima.</w:t>
            </w:r>
          </w:p>
          <w:p w:rsidR="00996CFB" w:rsidRDefault="00996CFB" w:rsidP="00996CFB">
            <w:pPr>
              <w:jc w:val="both"/>
              <w:rPr>
                <w:rFonts w:ascii="Verdana" w:hAnsi="Verdana" w:cs="Arial"/>
                <w:sz w:val="20"/>
                <w:szCs w:val="20"/>
              </w:rPr>
            </w:pPr>
            <w:r>
              <w:rPr>
                <w:rFonts w:ascii="Verdana" w:hAnsi="Verdana" w:cs="Arial"/>
                <w:sz w:val="20"/>
                <w:szCs w:val="20"/>
              </w:rPr>
              <w:t>e) 20,0 millones del proyecto con Corporación Andina de Fomento-CAF.</w:t>
            </w:r>
          </w:p>
          <w:p w:rsidR="00283B0B" w:rsidRPr="003A4A1F" w:rsidRDefault="00283B0B" w:rsidP="00351749">
            <w:pPr>
              <w:jc w:val="both"/>
              <w:rPr>
                <w:rFonts w:ascii="Verdana" w:hAnsi="Verdana"/>
                <w:sz w:val="20"/>
                <w:szCs w:val="20"/>
                <w:highlight w:val="yellow"/>
              </w:rPr>
            </w:pPr>
          </w:p>
        </w:tc>
        <w:tc>
          <w:tcPr>
            <w:tcW w:w="6640" w:type="dxa"/>
            <w:vAlign w:val="center"/>
          </w:tcPr>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Ejecución Obligaciones / Apropiación Vigente.</w:t>
            </w:r>
          </w:p>
          <w:p w:rsidR="00283B0B" w:rsidRPr="00FD4820" w:rsidRDefault="00283B0B" w:rsidP="008F217D">
            <w:pPr>
              <w:jc w:val="both"/>
              <w:rPr>
                <w:rFonts w:ascii="Verdana" w:hAnsi="Verdana"/>
                <w:sz w:val="20"/>
              </w:rPr>
            </w:pPr>
            <w:r w:rsidRPr="00FD4820">
              <w:rPr>
                <w:rFonts w:ascii="Verdana" w:hAnsi="Verdana"/>
                <w:b/>
                <w:sz w:val="20"/>
              </w:rPr>
              <w:t>Indicador:</w:t>
            </w:r>
            <w:r w:rsidRPr="00FD4820">
              <w:rPr>
                <w:rFonts w:ascii="Verdana" w:hAnsi="Verdana"/>
                <w:sz w:val="20"/>
              </w:rPr>
              <w:t xml:space="preserve"> </w:t>
            </w:r>
            <w:r w:rsidR="008D74CA">
              <w:rPr>
                <w:rFonts w:ascii="Verdana" w:hAnsi="Verdana"/>
                <w:sz w:val="20"/>
              </w:rPr>
              <w:t>3.133</w:t>
            </w:r>
            <w:r w:rsidR="00A24ED0">
              <w:rPr>
                <w:rFonts w:ascii="Verdana" w:hAnsi="Verdana"/>
                <w:sz w:val="20"/>
              </w:rPr>
              <w:t>,</w:t>
            </w:r>
            <w:r w:rsidR="008D74CA">
              <w:rPr>
                <w:rFonts w:ascii="Verdana" w:hAnsi="Verdana"/>
                <w:sz w:val="20"/>
              </w:rPr>
              <w:t>6</w:t>
            </w:r>
            <w:r w:rsidR="00277378" w:rsidRPr="00FD4820">
              <w:rPr>
                <w:rFonts w:ascii="Verdana" w:hAnsi="Verdana"/>
                <w:sz w:val="20"/>
              </w:rPr>
              <w:t xml:space="preserve"> </w:t>
            </w:r>
            <w:r w:rsidRPr="00FD4820">
              <w:rPr>
                <w:rFonts w:ascii="Verdana" w:hAnsi="Verdana"/>
                <w:sz w:val="20"/>
              </w:rPr>
              <w:t>/</w:t>
            </w:r>
            <w:r w:rsidR="00277378" w:rsidRPr="00FD4820">
              <w:rPr>
                <w:rFonts w:ascii="Verdana" w:hAnsi="Verdana"/>
                <w:sz w:val="20"/>
              </w:rPr>
              <w:t xml:space="preserve"> 60.891,0</w:t>
            </w:r>
            <w:r w:rsidRPr="00FD4820">
              <w:rPr>
                <w:rFonts w:ascii="Verdana" w:hAnsi="Verdana"/>
                <w:sz w:val="20"/>
              </w:rPr>
              <w:t xml:space="preserve"> </w:t>
            </w:r>
            <w:r w:rsidR="009337FE">
              <w:rPr>
                <w:rFonts w:ascii="Verdana" w:hAnsi="Verdana"/>
                <w:sz w:val="20"/>
              </w:rPr>
              <w:t xml:space="preserve">= </w:t>
            </w:r>
            <w:r w:rsidR="008D74CA">
              <w:rPr>
                <w:rFonts w:ascii="Verdana" w:hAnsi="Verdana"/>
                <w:sz w:val="20"/>
              </w:rPr>
              <w:t>5,15</w:t>
            </w:r>
            <w:r w:rsidRPr="00FD4820">
              <w:rPr>
                <w:rFonts w:ascii="Verdana" w:hAnsi="Verdana"/>
                <w:sz w:val="20"/>
              </w:rPr>
              <w:t>%.</w:t>
            </w:r>
          </w:p>
          <w:p w:rsidR="00283B0B" w:rsidRPr="009337FE" w:rsidRDefault="00283B0B" w:rsidP="008F217D">
            <w:pPr>
              <w:jc w:val="both"/>
              <w:rPr>
                <w:rFonts w:ascii="Verdana" w:hAnsi="Verdana"/>
                <w:sz w:val="20"/>
              </w:rPr>
            </w:pPr>
          </w:p>
          <w:p w:rsidR="00D17474" w:rsidRDefault="009337FE" w:rsidP="00D17474">
            <w:pPr>
              <w:jc w:val="both"/>
              <w:rPr>
                <w:rFonts w:ascii="Verdana" w:hAnsi="Verdana"/>
                <w:sz w:val="20"/>
              </w:rPr>
            </w:pPr>
            <w:r w:rsidRPr="009337FE">
              <w:rPr>
                <w:rFonts w:ascii="Verdana" w:hAnsi="Verdana"/>
                <w:iCs/>
                <w:sz w:val="20"/>
                <w:szCs w:val="20"/>
              </w:rPr>
              <w:t xml:space="preserve">La ejecución alcanzó </w:t>
            </w:r>
            <w:r w:rsidR="00A24ED0" w:rsidRPr="009337FE">
              <w:rPr>
                <w:rFonts w:ascii="Verdana" w:hAnsi="Verdana"/>
                <w:iCs/>
                <w:sz w:val="20"/>
                <w:szCs w:val="20"/>
              </w:rPr>
              <w:t xml:space="preserve">el </w:t>
            </w:r>
            <w:r w:rsidR="00D17474">
              <w:rPr>
                <w:rFonts w:ascii="Verdana" w:hAnsi="Verdana"/>
                <w:iCs/>
                <w:sz w:val="20"/>
                <w:szCs w:val="20"/>
              </w:rPr>
              <w:t>5,15</w:t>
            </w:r>
            <w:r w:rsidR="00A24ED0" w:rsidRPr="009337FE">
              <w:rPr>
                <w:rFonts w:ascii="Verdana" w:hAnsi="Verdana"/>
                <w:iCs/>
                <w:sz w:val="20"/>
                <w:szCs w:val="20"/>
              </w:rPr>
              <w:t>% de la apropiación, equivalente</w:t>
            </w:r>
            <w:r w:rsidRPr="009337FE">
              <w:rPr>
                <w:rFonts w:ascii="Verdana" w:hAnsi="Verdana"/>
                <w:iCs/>
                <w:sz w:val="20"/>
                <w:szCs w:val="20"/>
              </w:rPr>
              <w:t xml:space="preserve"> a </w:t>
            </w:r>
            <w:r w:rsidR="00D17474">
              <w:rPr>
                <w:rFonts w:ascii="Verdana" w:hAnsi="Verdana"/>
                <w:iCs/>
                <w:sz w:val="20"/>
                <w:szCs w:val="20"/>
              </w:rPr>
              <w:t>3.133,6</w:t>
            </w:r>
            <w:r w:rsidR="00277378" w:rsidRPr="009337FE">
              <w:rPr>
                <w:rFonts w:ascii="Verdana" w:hAnsi="Verdana"/>
                <w:iCs/>
                <w:sz w:val="20"/>
                <w:szCs w:val="20"/>
              </w:rPr>
              <w:t xml:space="preserve"> mill</w:t>
            </w:r>
            <w:r w:rsidRPr="009337FE">
              <w:rPr>
                <w:rFonts w:ascii="Verdana" w:hAnsi="Verdana"/>
                <w:iCs/>
                <w:sz w:val="20"/>
                <w:szCs w:val="20"/>
              </w:rPr>
              <w:t xml:space="preserve">ones, frente a una meta del </w:t>
            </w:r>
            <w:r w:rsidR="00D17474">
              <w:rPr>
                <w:rFonts w:ascii="Verdana" w:hAnsi="Verdana"/>
                <w:iCs/>
                <w:sz w:val="20"/>
                <w:szCs w:val="20"/>
              </w:rPr>
              <w:t>26,65</w:t>
            </w:r>
            <w:r w:rsidR="00277378" w:rsidRPr="009337FE">
              <w:rPr>
                <w:rFonts w:ascii="Verdana" w:hAnsi="Verdana"/>
                <w:iCs/>
                <w:sz w:val="20"/>
                <w:szCs w:val="20"/>
              </w:rPr>
              <w:t>%,</w:t>
            </w:r>
            <w:r w:rsidRPr="009337FE">
              <w:rPr>
                <w:rFonts w:ascii="Verdana" w:hAnsi="Verdana"/>
                <w:iCs/>
                <w:sz w:val="20"/>
                <w:szCs w:val="20"/>
              </w:rPr>
              <w:t xml:space="preserve"> presentando un </w:t>
            </w:r>
            <w:r w:rsidR="001D4874">
              <w:rPr>
                <w:rFonts w:ascii="Verdana" w:eastAsiaTheme="minorHAnsi" w:hAnsi="Verdana" w:cs="Arial"/>
                <w:sz w:val="20"/>
                <w:szCs w:val="20"/>
                <w:lang w:val="es-CO" w:eastAsia="en-US"/>
              </w:rPr>
              <w:t>déficit</w:t>
            </w:r>
            <w:r w:rsidR="00A24ED0">
              <w:rPr>
                <w:rFonts w:ascii="Verdana" w:eastAsiaTheme="minorHAnsi" w:hAnsi="Verdana" w:cs="Arial"/>
                <w:sz w:val="20"/>
                <w:szCs w:val="20"/>
                <w:lang w:val="es-CO" w:eastAsia="en-US"/>
              </w:rPr>
              <w:t xml:space="preserve"> </w:t>
            </w:r>
            <w:r w:rsidR="00537FD8" w:rsidRPr="00173336">
              <w:rPr>
                <w:rFonts w:ascii="Verdana" w:eastAsiaTheme="minorHAnsi" w:hAnsi="Verdana" w:cs="Arial"/>
                <w:sz w:val="20"/>
                <w:szCs w:val="20"/>
                <w:lang w:val="es-CO" w:eastAsia="en-US"/>
              </w:rPr>
              <w:t xml:space="preserve">de </w:t>
            </w:r>
            <w:r w:rsidR="00D17474">
              <w:rPr>
                <w:rFonts w:ascii="Verdana" w:eastAsiaTheme="minorHAnsi" w:hAnsi="Verdana" w:cs="Arial"/>
                <w:sz w:val="20"/>
                <w:szCs w:val="20"/>
                <w:lang w:val="es-CO" w:eastAsia="en-US"/>
              </w:rPr>
              <w:t>13.094,5</w:t>
            </w:r>
            <w:r w:rsidR="00537FD8" w:rsidRPr="00173336">
              <w:rPr>
                <w:rFonts w:ascii="Verdana" w:eastAsiaTheme="minorHAnsi" w:hAnsi="Verdana" w:cs="Arial"/>
                <w:sz w:val="20"/>
                <w:szCs w:val="20"/>
                <w:lang w:val="es-CO" w:eastAsia="en-US"/>
              </w:rPr>
              <w:t xml:space="preserve"> millones, </w:t>
            </w:r>
            <w:r w:rsidR="00A24ED0" w:rsidRPr="00C17A84">
              <w:rPr>
                <w:rFonts w:ascii="Verdana" w:hAnsi="Verdana" w:cs="Arial"/>
                <w:sz w:val="20"/>
                <w:szCs w:val="20"/>
              </w:rPr>
              <w:t xml:space="preserve">debido </w:t>
            </w:r>
            <w:r w:rsidR="00D17474">
              <w:rPr>
                <w:rFonts w:ascii="Verdana" w:hAnsi="Verdana"/>
                <w:sz w:val="20"/>
                <w:szCs w:val="20"/>
              </w:rPr>
              <w:t>no se tramitaron todos los contratos que se tenían previstos para el mes de septiembre</w:t>
            </w:r>
            <w:r w:rsidR="00D17474">
              <w:rPr>
                <w:rFonts w:ascii="Verdana" w:eastAsia="Times New Roman" w:hAnsi="Verdana" w:cs="Times New Roman"/>
                <w:sz w:val="20"/>
                <w:szCs w:val="20"/>
              </w:rPr>
              <w:t xml:space="preserve"> y así mismo sus respectivos pagos.</w:t>
            </w:r>
            <w:r w:rsidR="00D17474">
              <w:rPr>
                <w:rFonts w:ascii="Verdana" w:hAnsi="Verdana"/>
                <w:sz w:val="20"/>
              </w:rPr>
              <w:t xml:space="preserve"> </w:t>
            </w:r>
          </w:p>
          <w:p w:rsidR="00D17474" w:rsidRDefault="00D17474" w:rsidP="00D17474">
            <w:pPr>
              <w:jc w:val="both"/>
              <w:rPr>
                <w:rFonts w:ascii="Verdana" w:hAnsi="Verdana"/>
                <w:sz w:val="20"/>
              </w:rPr>
            </w:pPr>
          </w:p>
          <w:p w:rsidR="00F90546" w:rsidRDefault="00D64D97" w:rsidP="00F90546">
            <w:pPr>
              <w:spacing w:line="259" w:lineRule="auto"/>
              <w:jc w:val="both"/>
              <w:rPr>
                <w:rFonts w:ascii="Verdana" w:hAnsi="Verdana" w:cs="Arial"/>
                <w:sz w:val="20"/>
                <w:szCs w:val="20"/>
              </w:rPr>
            </w:pPr>
            <w:r w:rsidRPr="00FA79EC">
              <w:rPr>
                <w:rFonts w:ascii="Verdana" w:hAnsi="Verdana" w:cs="Arial"/>
                <w:sz w:val="20"/>
                <w:szCs w:val="20"/>
              </w:rPr>
              <w:t>La ejecución de los gastos de inversión estuvo distribuida así:</w:t>
            </w:r>
          </w:p>
          <w:p w:rsidR="00A24ED0" w:rsidRDefault="00A24ED0" w:rsidP="00F90546">
            <w:pPr>
              <w:spacing w:line="259" w:lineRule="auto"/>
              <w:jc w:val="both"/>
              <w:rPr>
                <w:rFonts w:ascii="Verdana" w:hAnsi="Verdana" w:cs="Arial"/>
                <w:sz w:val="20"/>
                <w:szCs w:val="20"/>
              </w:rPr>
            </w:pPr>
          </w:p>
          <w:p w:rsidR="008A5650" w:rsidRDefault="00D64D97" w:rsidP="008A5650">
            <w:pPr>
              <w:jc w:val="both"/>
              <w:rPr>
                <w:rFonts w:ascii="Verdana" w:hAnsi="Verdana" w:cs="Arial"/>
                <w:sz w:val="20"/>
                <w:szCs w:val="20"/>
              </w:rPr>
            </w:pPr>
            <w:r w:rsidRPr="00FA79EC">
              <w:rPr>
                <w:rFonts w:ascii="Verdana" w:hAnsi="Verdana" w:cs="Arial"/>
                <w:sz w:val="20"/>
                <w:szCs w:val="20"/>
              </w:rPr>
              <w:t xml:space="preserve"> </w:t>
            </w:r>
            <w:r w:rsidR="008A5650">
              <w:rPr>
                <w:rFonts w:ascii="Verdana" w:hAnsi="Verdana" w:cs="Arial"/>
                <w:sz w:val="20"/>
                <w:szCs w:val="20"/>
              </w:rPr>
              <w:t xml:space="preserve">a) 338,2 millones, pagos del proyecto </w:t>
            </w:r>
            <w:r w:rsidR="008A5650" w:rsidRPr="008B4BA6">
              <w:rPr>
                <w:rFonts w:ascii="Verdana" w:hAnsi="Verdana" w:cs="Arial"/>
                <w:sz w:val="20"/>
                <w:szCs w:val="20"/>
              </w:rPr>
              <w:t xml:space="preserve">PMR </w:t>
            </w:r>
            <w:r w:rsidR="008A5650">
              <w:rPr>
                <w:rFonts w:ascii="Verdana" w:hAnsi="Verdana" w:cs="Arial"/>
                <w:sz w:val="20"/>
                <w:szCs w:val="20"/>
              </w:rPr>
              <w:t>Banco M</w:t>
            </w:r>
            <w:r w:rsidR="008A5650" w:rsidRPr="008B4BA6">
              <w:rPr>
                <w:rFonts w:ascii="Verdana" w:hAnsi="Verdana" w:cs="Arial"/>
                <w:sz w:val="20"/>
                <w:szCs w:val="20"/>
              </w:rPr>
              <w:t>undial</w:t>
            </w:r>
            <w:r w:rsidR="008A5650">
              <w:rPr>
                <w:rFonts w:ascii="Verdana" w:hAnsi="Verdana" w:cs="Arial"/>
                <w:sz w:val="20"/>
                <w:szCs w:val="20"/>
              </w:rPr>
              <w:t xml:space="preserve"> (</w:t>
            </w:r>
            <w:proofErr w:type="spellStart"/>
            <w:r w:rsidR="008A5650" w:rsidRPr="008B4BA6">
              <w:rPr>
                <w:rFonts w:ascii="Verdana" w:hAnsi="Verdana" w:cs="Arial"/>
                <w:sz w:val="20"/>
                <w:szCs w:val="20"/>
              </w:rPr>
              <w:t>Agitos</w:t>
            </w:r>
            <w:proofErr w:type="spellEnd"/>
            <w:r w:rsidR="008A5650" w:rsidRPr="008B4BA6">
              <w:rPr>
                <w:rFonts w:ascii="Verdana" w:hAnsi="Verdana" w:cs="Arial"/>
                <w:sz w:val="20"/>
                <w:szCs w:val="20"/>
              </w:rPr>
              <w:t xml:space="preserve"> </w:t>
            </w:r>
            <w:proofErr w:type="spellStart"/>
            <w:r w:rsidR="008A5650" w:rsidRPr="008B4BA6">
              <w:rPr>
                <w:rFonts w:ascii="Verdana" w:hAnsi="Verdana" w:cs="Arial"/>
                <w:sz w:val="20"/>
                <w:szCs w:val="20"/>
              </w:rPr>
              <w:t>Foundation</w:t>
            </w:r>
            <w:proofErr w:type="spellEnd"/>
            <w:r w:rsidR="008A5650">
              <w:rPr>
                <w:rFonts w:ascii="Verdana" w:hAnsi="Verdana" w:cs="Arial"/>
                <w:sz w:val="20"/>
                <w:szCs w:val="20"/>
              </w:rPr>
              <w:t>).</w:t>
            </w:r>
          </w:p>
          <w:p w:rsidR="008A5650" w:rsidRPr="007C68D7" w:rsidRDefault="008A5650" w:rsidP="008A5650">
            <w:pPr>
              <w:jc w:val="both"/>
              <w:rPr>
                <w:rFonts w:ascii="Verdana" w:hAnsi="Verdana" w:cs="Arial"/>
                <w:sz w:val="20"/>
                <w:szCs w:val="20"/>
              </w:rPr>
            </w:pPr>
            <w:r>
              <w:rPr>
                <w:rFonts w:ascii="Verdana" w:hAnsi="Verdana" w:cs="Arial"/>
                <w:sz w:val="20"/>
                <w:szCs w:val="20"/>
              </w:rPr>
              <w:t>b</w:t>
            </w:r>
            <w:r w:rsidRPr="007C68D7">
              <w:rPr>
                <w:rFonts w:ascii="Verdana" w:hAnsi="Verdana" w:cs="Arial"/>
                <w:sz w:val="20"/>
                <w:szCs w:val="20"/>
              </w:rPr>
              <w:t xml:space="preserve">) </w:t>
            </w:r>
            <w:r>
              <w:rPr>
                <w:rFonts w:ascii="Verdana" w:hAnsi="Verdana" w:cs="Arial"/>
                <w:sz w:val="20"/>
                <w:szCs w:val="20"/>
              </w:rPr>
              <w:t>1.188,1</w:t>
            </w:r>
            <w:r w:rsidRPr="007C68D7">
              <w:rPr>
                <w:rFonts w:ascii="Verdana" w:hAnsi="Verdana" w:cs="Arial"/>
                <w:sz w:val="20"/>
                <w:szCs w:val="20"/>
              </w:rPr>
              <w:t xml:space="preserve"> millones, pagos realizados en el marco del proyecto “Estrategia regional de emprendimiento” financiado con recursos donados por la Unión Europea.</w:t>
            </w:r>
          </w:p>
          <w:p w:rsidR="008A5650" w:rsidRDefault="008A5650" w:rsidP="008A5650">
            <w:pPr>
              <w:jc w:val="both"/>
              <w:rPr>
                <w:rFonts w:ascii="Verdana" w:hAnsi="Verdana" w:cs="Arial"/>
                <w:sz w:val="20"/>
                <w:szCs w:val="20"/>
              </w:rPr>
            </w:pPr>
            <w:r>
              <w:rPr>
                <w:rFonts w:ascii="Verdana" w:hAnsi="Verdana" w:cs="Arial"/>
                <w:sz w:val="20"/>
                <w:szCs w:val="20"/>
              </w:rPr>
              <w:t>c</w:t>
            </w:r>
            <w:r w:rsidRPr="007C68D7">
              <w:rPr>
                <w:rFonts w:ascii="Verdana" w:hAnsi="Verdana" w:cs="Arial"/>
                <w:sz w:val="20"/>
                <w:szCs w:val="20"/>
              </w:rPr>
              <w:t xml:space="preserve">) </w:t>
            </w:r>
            <w:r>
              <w:rPr>
                <w:rFonts w:ascii="Verdana" w:hAnsi="Verdana" w:cs="Arial"/>
                <w:sz w:val="20"/>
                <w:szCs w:val="20"/>
              </w:rPr>
              <w:t>1.389,0</w:t>
            </w:r>
            <w:r w:rsidRPr="007C68D7">
              <w:rPr>
                <w:rFonts w:ascii="Verdana" w:hAnsi="Verdana" w:cs="Arial"/>
                <w:sz w:val="20"/>
                <w:szCs w:val="20"/>
              </w:rPr>
              <w:t xml:space="preserve"> millones, pagos del proyecto de desminado terrestre en el marco del convenio de subvención firmado con la fundación Howard Buffet.</w:t>
            </w:r>
          </w:p>
          <w:p w:rsidR="008A5650" w:rsidRDefault="008A5650" w:rsidP="008A5650">
            <w:pPr>
              <w:jc w:val="both"/>
              <w:rPr>
                <w:rFonts w:ascii="Verdana" w:hAnsi="Verdana" w:cs="Arial"/>
                <w:sz w:val="20"/>
                <w:szCs w:val="20"/>
              </w:rPr>
            </w:pPr>
            <w:r>
              <w:rPr>
                <w:rFonts w:ascii="Verdana" w:hAnsi="Verdana" w:cs="Arial"/>
                <w:sz w:val="20"/>
                <w:szCs w:val="20"/>
              </w:rPr>
              <w:t>d) 210,2 millones del proyecto Fondo Verde del Clima.</w:t>
            </w:r>
          </w:p>
          <w:p w:rsidR="008A5650" w:rsidRDefault="008A5650" w:rsidP="008A5650">
            <w:pPr>
              <w:jc w:val="both"/>
              <w:rPr>
                <w:rFonts w:ascii="Verdana" w:hAnsi="Verdana" w:cs="Arial"/>
                <w:sz w:val="20"/>
                <w:szCs w:val="20"/>
              </w:rPr>
            </w:pPr>
            <w:r>
              <w:rPr>
                <w:rFonts w:ascii="Verdana" w:hAnsi="Verdana" w:cs="Arial"/>
                <w:sz w:val="20"/>
                <w:szCs w:val="20"/>
              </w:rPr>
              <w:t>e) 8,0 millones del Proyecto con Corporación Andina de Fomento-CAF.</w:t>
            </w:r>
          </w:p>
          <w:p w:rsidR="008A5650" w:rsidRPr="007C68D7" w:rsidRDefault="008A5650" w:rsidP="008A5650">
            <w:pPr>
              <w:jc w:val="both"/>
              <w:rPr>
                <w:rFonts w:ascii="Verdana" w:hAnsi="Verdana" w:cs="Arial"/>
                <w:sz w:val="20"/>
                <w:szCs w:val="20"/>
              </w:rPr>
            </w:pPr>
          </w:p>
          <w:p w:rsidR="00283B0B" w:rsidRPr="003A4A1F" w:rsidRDefault="00283B0B" w:rsidP="008F217D">
            <w:pPr>
              <w:jc w:val="both"/>
              <w:rPr>
                <w:highlight w:val="yellow"/>
              </w:rPr>
            </w:pPr>
          </w:p>
        </w:tc>
      </w:tr>
    </w:tbl>
    <w:p w:rsidR="00283B0B" w:rsidRDefault="00283B0B" w:rsidP="00283B0B">
      <w:pPr>
        <w:rPr>
          <w:rFonts w:ascii="Verdana" w:hAnsi="Verdana"/>
          <w:b/>
          <w:highlight w:val="yellow"/>
        </w:rPr>
      </w:pPr>
    </w:p>
    <w:p w:rsidR="00396EB5" w:rsidRPr="003A4A1F" w:rsidRDefault="00396EB5" w:rsidP="00283B0B">
      <w:pPr>
        <w:rPr>
          <w:rFonts w:ascii="Verdana" w:hAnsi="Verdana"/>
          <w:b/>
          <w:highlight w:val="yellow"/>
        </w:rPr>
      </w:pPr>
    </w:p>
    <w:p w:rsidR="00283B0B" w:rsidRPr="00633E66" w:rsidRDefault="00283B0B" w:rsidP="00CE0761">
      <w:pPr>
        <w:jc w:val="both"/>
        <w:rPr>
          <w:rFonts w:ascii="Verdana" w:hAnsi="Verdana"/>
          <w:b/>
          <w:sz w:val="22"/>
        </w:rPr>
      </w:pPr>
      <w:r w:rsidRPr="00396EB5">
        <w:rPr>
          <w:rFonts w:ascii="Verdana" w:hAnsi="Verdana"/>
          <w:b/>
          <w:sz w:val="22"/>
        </w:rPr>
        <w:t xml:space="preserve">Proyecto de inversión </w:t>
      </w:r>
      <w:r w:rsidR="00CE0761" w:rsidRPr="00396EB5">
        <w:rPr>
          <w:rFonts w:ascii="Verdana" w:hAnsi="Verdana"/>
          <w:b/>
          <w:sz w:val="22"/>
        </w:rPr>
        <w:t>C-0208-1000-10</w:t>
      </w:r>
      <w:r w:rsidRPr="00396EB5">
        <w:rPr>
          <w:rFonts w:ascii="Verdana" w:hAnsi="Verdana"/>
          <w:b/>
          <w:sz w:val="22"/>
        </w:rPr>
        <w:t xml:space="preserve">: </w:t>
      </w:r>
      <w:r w:rsidR="00CE0761" w:rsidRPr="00396EB5">
        <w:rPr>
          <w:rFonts w:ascii="Verdana" w:hAnsi="Verdana"/>
          <w:b/>
          <w:sz w:val="22"/>
        </w:rPr>
        <w:t>Fortalecimiento de las Capacidades Tecnológicas de la Información en APC-Colombia, Nacional</w:t>
      </w:r>
    </w:p>
    <w:tbl>
      <w:tblPr>
        <w:tblStyle w:val="Tablaconcuadrcula"/>
        <w:tblW w:w="0" w:type="auto"/>
        <w:tblLook w:val="04A0" w:firstRow="1" w:lastRow="0" w:firstColumn="1" w:lastColumn="0" w:noHBand="0" w:noVBand="1"/>
      </w:tblPr>
      <w:tblGrid>
        <w:gridCol w:w="6638"/>
        <w:gridCol w:w="6640"/>
      </w:tblGrid>
      <w:tr w:rsidR="00283B0B" w:rsidRPr="00633E66" w:rsidTr="008F217D">
        <w:tc>
          <w:tcPr>
            <w:tcW w:w="6638" w:type="dxa"/>
          </w:tcPr>
          <w:p w:rsidR="00283B0B" w:rsidRPr="00633E66" w:rsidRDefault="00283B0B" w:rsidP="008F217D">
            <w:pPr>
              <w:jc w:val="center"/>
              <w:rPr>
                <w:rFonts w:ascii="Verdana" w:hAnsi="Verdana"/>
                <w:b/>
              </w:rPr>
            </w:pPr>
            <w:r w:rsidRPr="00633E66">
              <w:rPr>
                <w:rFonts w:ascii="Verdana" w:hAnsi="Verdana"/>
                <w:b/>
              </w:rPr>
              <w:t>Compromisos</w:t>
            </w:r>
          </w:p>
        </w:tc>
        <w:tc>
          <w:tcPr>
            <w:tcW w:w="6640" w:type="dxa"/>
          </w:tcPr>
          <w:p w:rsidR="00283B0B" w:rsidRPr="00633E66" w:rsidRDefault="00283B0B" w:rsidP="008F217D">
            <w:pPr>
              <w:jc w:val="center"/>
              <w:rPr>
                <w:rFonts w:ascii="Verdana" w:hAnsi="Verdana"/>
                <w:b/>
              </w:rPr>
            </w:pPr>
            <w:r w:rsidRPr="00633E66">
              <w:rPr>
                <w:rFonts w:ascii="Verdana" w:hAnsi="Verdana"/>
                <w:b/>
              </w:rPr>
              <w:t>Obligaciones</w:t>
            </w:r>
          </w:p>
        </w:tc>
      </w:tr>
      <w:tr w:rsidR="00283B0B" w:rsidRPr="003A4A1F" w:rsidTr="008F217D">
        <w:tc>
          <w:tcPr>
            <w:tcW w:w="6638" w:type="dxa"/>
            <w:vAlign w:val="center"/>
          </w:tcPr>
          <w:p w:rsidR="00283B0B" w:rsidRPr="00633E66" w:rsidRDefault="00283B0B" w:rsidP="008F217D">
            <w:pPr>
              <w:jc w:val="both"/>
              <w:rPr>
                <w:rFonts w:ascii="Verdana" w:hAnsi="Verdana"/>
                <w:sz w:val="20"/>
              </w:rPr>
            </w:pPr>
            <w:r w:rsidRPr="00633E66">
              <w:rPr>
                <w:rFonts w:ascii="Verdana" w:hAnsi="Verdana"/>
                <w:b/>
                <w:sz w:val="20"/>
              </w:rPr>
              <w:t>Indicador:</w:t>
            </w:r>
            <w:r w:rsidRPr="00633E66">
              <w:rPr>
                <w:rFonts w:ascii="Verdana" w:hAnsi="Verdana"/>
                <w:sz w:val="20"/>
              </w:rPr>
              <w:t xml:space="preserve"> Ejecución Compromisos / Apropiación Vigente.</w:t>
            </w:r>
          </w:p>
          <w:p w:rsidR="007F004D" w:rsidRDefault="00283B0B" w:rsidP="007F004D">
            <w:pPr>
              <w:jc w:val="both"/>
              <w:rPr>
                <w:rFonts w:ascii="Verdana" w:hAnsi="Verdana"/>
                <w:sz w:val="20"/>
              </w:rPr>
            </w:pPr>
            <w:r w:rsidRPr="00633E66">
              <w:rPr>
                <w:rFonts w:ascii="Verdana" w:hAnsi="Verdana"/>
                <w:b/>
                <w:sz w:val="20"/>
              </w:rPr>
              <w:t>Indicador:</w:t>
            </w:r>
            <w:r w:rsidRPr="00633E66">
              <w:rPr>
                <w:rFonts w:ascii="Verdana" w:hAnsi="Verdana"/>
                <w:sz w:val="20"/>
              </w:rPr>
              <w:t xml:space="preserve"> </w:t>
            </w:r>
            <w:r w:rsidR="002E614D">
              <w:rPr>
                <w:rFonts w:ascii="Verdana" w:hAnsi="Verdana"/>
                <w:sz w:val="20"/>
              </w:rPr>
              <w:t>605</w:t>
            </w:r>
            <w:r w:rsidR="0075014A">
              <w:rPr>
                <w:rFonts w:ascii="Verdana" w:hAnsi="Verdana"/>
                <w:sz w:val="20"/>
              </w:rPr>
              <w:t>,</w:t>
            </w:r>
            <w:r w:rsidR="002E614D">
              <w:rPr>
                <w:rFonts w:ascii="Verdana" w:hAnsi="Verdana"/>
                <w:sz w:val="20"/>
              </w:rPr>
              <w:t>8</w:t>
            </w:r>
            <w:r w:rsidR="00CE0761" w:rsidRPr="00633E66">
              <w:rPr>
                <w:rFonts w:ascii="Verdana" w:hAnsi="Verdana"/>
                <w:sz w:val="20"/>
              </w:rPr>
              <w:t xml:space="preserve"> </w:t>
            </w:r>
            <w:r w:rsidRPr="00633E66">
              <w:rPr>
                <w:rFonts w:ascii="Verdana" w:hAnsi="Verdana"/>
                <w:sz w:val="20"/>
              </w:rPr>
              <w:t xml:space="preserve">/ </w:t>
            </w:r>
            <w:r w:rsidR="00CE0761" w:rsidRPr="00633E66">
              <w:rPr>
                <w:rFonts w:ascii="Verdana" w:hAnsi="Verdana"/>
                <w:sz w:val="20"/>
              </w:rPr>
              <w:t>756,3</w:t>
            </w:r>
            <w:r w:rsidRPr="00633E66">
              <w:rPr>
                <w:rFonts w:ascii="Verdana" w:hAnsi="Verdana"/>
                <w:sz w:val="20"/>
              </w:rPr>
              <w:t xml:space="preserve"> = </w:t>
            </w:r>
            <w:r w:rsidR="002E614D">
              <w:rPr>
                <w:rFonts w:ascii="Verdana" w:hAnsi="Verdana"/>
                <w:sz w:val="20"/>
              </w:rPr>
              <w:t>80,10</w:t>
            </w:r>
            <w:r w:rsidRPr="00633E66">
              <w:rPr>
                <w:rFonts w:ascii="Verdana" w:hAnsi="Verdana"/>
                <w:sz w:val="20"/>
              </w:rPr>
              <w:t>%.</w:t>
            </w:r>
          </w:p>
          <w:p w:rsidR="007F004D" w:rsidRDefault="007F004D" w:rsidP="007F004D">
            <w:pPr>
              <w:jc w:val="both"/>
              <w:rPr>
                <w:rFonts w:ascii="Verdana" w:hAnsi="Verdana"/>
                <w:sz w:val="20"/>
              </w:rPr>
            </w:pPr>
          </w:p>
          <w:p w:rsidR="00220BAC" w:rsidRPr="00633E66" w:rsidRDefault="007F004D" w:rsidP="00675225">
            <w:pPr>
              <w:jc w:val="both"/>
              <w:rPr>
                <w:rFonts w:ascii="Verdana" w:hAnsi="Verdana"/>
                <w:sz w:val="20"/>
              </w:rPr>
            </w:pPr>
            <w:r w:rsidRPr="00633E66">
              <w:rPr>
                <w:rFonts w:ascii="Verdana" w:hAnsi="Verdana"/>
                <w:sz w:val="20"/>
              </w:rPr>
              <w:t xml:space="preserve"> Por cuenta de este proyecto, se comprometieron recursos por </w:t>
            </w:r>
            <w:r w:rsidR="002E614D">
              <w:rPr>
                <w:rFonts w:ascii="Verdana" w:hAnsi="Verdana"/>
                <w:sz w:val="20"/>
              </w:rPr>
              <w:t>605,8</w:t>
            </w:r>
            <w:r>
              <w:rPr>
                <w:rFonts w:ascii="Verdana" w:hAnsi="Verdana"/>
                <w:sz w:val="20"/>
              </w:rPr>
              <w:t xml:space="preserve"> millones, equivalentes al </w:t>
            </w:r>
            <w:r w:rsidR="002E614D">
              <w:rPr>
                <w:rFonts w:ascii="Verdana" w:hAnsi="Verdana"/>
                <w:sz w:val="20"/>
              </w:rPr>
              <w:t>80,10</w:t>
            </w:r>
            <w:r>
              <w:rPr>
                <w:rFonts w:ascii="Verdana" w:hAnsi="Verdana"/>
                <w:sz w:val="20"/>
              </w:rPr>
              <w:t xml:space="preserve">%, frente a una meta del 66,38%, presentando un déficit </w:t>
            </w:r>
            <w:r w:rsidR="002E614D">
              <w:rPr>
                <w:rFonts w:ascii="Verdana" w:hAnsi="Verdana"/>
                <w:sz w:val="20"/>
              </w:rPr>
              <w:t>103,8</w:t>
            </w:r>
            <w:r>
              <w:rPr>
                <w:rFonts w:ascii="Verdana" w:hAnsi="Verdana"/>
                <w:sz w:val="20"/>
              </w:rPr>
              <w:t xml:space="preserve"> millones </w:t>
            </w:r>
            <w:r>
              <w:rPr>
                <w:rFonts w:ascii="Verdana" w:hAnsi="Verdana" w:cs="Arial"/>
                <w:sz w:val="20"/>
                <w:szCs w:val="20"/>
              </w:rPr>
              <w:t>no se tramitaron todos los contratos que se tenían previstos</w:t>
            </w:r>
            <w:r w:rsidRPr="00633E66">
              <w:rPr>
                <w:rFonts w:ascii="Verdana" w:hAnsi="Verdana"/>
                <w:sz w:val="20"/>
              </w:rPr>
              <w:t xml:space="preserve"> </w:t>
            </w:r>
            <w:r>
              <w:rPr>
                <w:rFonts w:ascii="Verdana" w:hAnsi="Verdana"/>
                <w:sz w:val="20"/>
              </w:rPr>
              <w:t xml:space="preserve">para el mes de </w:t>
            </w:r>
            <w:r w:rsidR="002E614D">
              <w:rPr>
                <w:rFonts w:ascii="Verdana" w:hAnsi="Verdana"/>
                <w:sz w:val="20"/>
              </w:rPr>
              <w:t>septiembre</w:t>
            </w:r>
            <w:r>
              <w:rPr>
                <w:rFonts w:ascii="Verdana" w:hAnsi="Verdana"/>
                <w:sz w:val="20"/>
              </w:rPr>
              <w:t xml:space="preserve">, </w:t>
            </w:r>
            <w:r>
              <w:rPr>
                <w:rFonts w:ascii="Verdana" w:hAnsi="Verdana"/>
                <w:sz w:val="20"/>
                <w:szCs w:val="20"/>
              </w:rPr>
              <w:t xml:space="preserve">a pesar del déficit presentado, </w:t>
            </w:r>
            <w:r>
              <w:rPr>
                <w:rFonts w:ascii="Verdana" w:hAnsi="Verdana"/>
                <w:sz w:val="20"/>
              </w:rPr>
              <w:t xml:space="preserve">se tramitaron </w:t>
            </w:r>
            <w:r w:rsidR="002E614D">
              <w:rPr>
                <w:rFonts w:ascii="Verdana" w:hAnsi="Verdana" w:cs="Arial"/>
                <w:sz w:val="20"/>
                <w:szCs w:val="20"/>
              </w:rPr>
              <w:t>los contratos de</w:t>
            </w:r>
            <w:r w:rsidRPr="00902BE7">
              <w:rPr>
                <w:rFonts w:ascii="Verdana" w:hAnsi="Verdana" w:cs="Arial"/>
                <w:sz w:val="20"/>
                <w:szCs w:val="20"/>
              </w:rPr>
              <w:t xml:space="preserve"> </w:t>
            </w:r>
            <w:r w:rsidR="002E614D" w:rsidRPr="00902BE7">
              <w:rPr>
                <w:rFonts w:ascii="Verdana" w:hAnsi="Verdana" w:cs="Arial"/>
                <w:sz w:val="20"/>
                <w:szCs w:val="20"/>
              </w:rPr>
              <w:t>servicios profesional</w:t>
            </w:r>
            <w:r w:rsidR="002E614D">
              <w:rPr>
                <w:rFonts w:ascii="Verdana" w:hAnsi="Verdana" w:cs="Arial"/>
                <w:sz w:val="20"/>
                <w:szCs w:val="20"/>
              </w:rPr>
              <w:t>es para la gestión del proyecto y los contratos con la Unión Temporal Seguridad-</w:t>
            </w:r>
            <w:proofErr w:type="spellStart"/>
            <w:r w:rsidR="002E614D">
              <w:rPr>
                <w:rFonts w:ascii="Verdana" w:hAnsi="Verdana" w:cs="Arial"/>
                <w:sz w:val="20"/>
                <w:szCs w:val="20"/>
              </w:rPr>
              <w:t>Nas</w:t>
            </w:r>
            <w:proofErr w:type="spellEnd"/>
            <w:r w:rsidR="002E614D">
              <w:rPr>
                <w:rFonts w:ascii="Verdana" w:hAnsi="Verdana" w:cs="Arial"/>
                <w:sz w:val="20"/>
                <w:szCs w:val="20"/>
              </w:rPr>
              <w:t xml:space="preserve">, </w:t>
            </w:r>
            <w:proofErr w:type="spellStart"/>
            <w:r w:rsidR="002E614D" w:rsidRPr="0057344D">
              <w:rPr>
                <w:rFonts w:ascii="Verdana" w:hAnsi="Verdana" w:cs="Arial"/>
                <w:sz w:val="20"/>
                <w:szCs w:val="20"/>
              </w:rPr>
              <w:t>Ximil</w:t>
            </w:r>
            <w:proofErr w:type="spellEnd"/>
            <w:r w:rsidR="002E614D" w:rsidRPr="0057344D">
              <w:rPr>
                <w:rFonts w:ascii="Verdana" w:hAnsi="Verdana" w:cs="Arial"/>
                <w:sz w:val="20"/>
                <w:szCs w:val="20"/>
              </w:rPr>
              <w:t xml:space="preserve"> Technologies </w:t>
            </w:r>
            <w:r w:rsidR="002E614D">
              <w:rPr>
                <w:rFonts w:ascii="Verdana" w:hAnsi="Verdana" w:cs="Arial"/>
                <w:sz w:val="20"/>
                <w:szCs w:val="20"/>
              </w:rPr>
              <w:t xml:space="preserve">y el </w:t>
            </w:r>
            <w:r w:rsidR="002E614D" w:rsidRPr="0057344D">
              <w:rPr>
                <w:rFonts w:ascii="Verdana" w:hAnsi="Verdana" w:cs="Arial"/>
                <w:sz w:val="20"/>
                <w:szCs w:val="20"/>
              </w:rPr>
              <w:t>contrato con la Unión Solucione</w:t>
            </w:r>
            <w:r w:rsidR="002E614D">
              <w:rPr>
                <w:rFonts w:ascii="Verdana" w:hAnsi="Verdana" w:cs="Arial"/>
                <w:sz w:val="20"/>
                <w:szCs w:val="20"/>
              </w:rPr>
              <w:t>s Sistemas De Información</w:t>
            </w:r>
            <w:r w:rsidR="00675225">
              <w:rPr>
                <w:rFonts w:ascii="Verdana" w:hAnsi="Verdana" w:cs="Arial"/>
                <w:sz w:val="20"/>
                <w:szCs w:val="20"/>
              </w:rPr>
              <w:t xml:space="preserve"> S.A.S.</w:t>
            </w:r>
          </w:p>
        </w:tc>
        <w:tc>
          <w:tcPr>
            <w:tcW w:w="6640" w:type="dxa"/>
            <w:vAlign w:val="center"/>
          </w:tcPr>
          <w:p w:rsidR="00283B0B" w:rsidRPr="00633E66" w:rsidRDefault="00283B0B" w:rsidP="008F217D">
            <w:pPr>
              <w:jc w:val="both"/>
              <w:rPr>
                <w:rFonts w:ascii="Verdana" w:hAnsi="Verdana"/>
                <w:sz w:val="20"/>
              </w:rPr>
            </w:pPr>
            <w:r w:rsidRPr="00633E66">
              <w:rPr>
                <w:rFonts w:ascii="Verdana" w:hAnsi="Verdana"/>
                <w:b/>
                <w:sz w:val="20"/>
              </w:rPr>
              <w:t>Indicador:</w:t>
            </w:r>
            <w:r w:rsidRPr="00633E66">
              <w:rPr>
                <w:rFonts w:ascii="Verdana" w:hAnsi="Verdana"/>
                <w:sz w:val="20"/>
              </w:rPr>
              <w:t xml:space="preserve"> Ejecución Obligaciones / Apropiación Vigente.</w:t>
            </w:r>
          </w:p>
          <w:p w:rsidR="007F004D" w:rsidRDefault="00283B0B" w:rsidP="007F004D">
            <w:pPr>
              <w:jc w:val="both"/>
              <w:rPr>
                <w:rFonts w:ascii="Verdana" w:hAnsi="Verdana"/>
                <w:sz w:val="20"/>
              </w:rPr>
            </w:pPr>
            <w:r w:rsidRPr="00633E66">
              <w:rPr>
                <w:rFonts w:ascii="Verdana" w:hAnsi="Verdana"/>
                <w:b/>
                <w:sz w:val="20"/>
              </w:rPr>
              <w:t>Indicador:</w:t>
            </w:r>
            <w:r w:rsidRPr="00633E66">
              <w:rPr>
                <w:rFonts w:ascii="Verdana" w:hAnsi="Verdana"/>
                <w:sz w:val="20"/>
              </w:rPr>
              <w:t xml:space="preserve"> </w:t>
            </w:r>
            <w:r w:rsidR="000C2BE0">
              <w:rPr>
                <w:rFonts w:ascii="Verdana" w:hAnsi="Verdana"/>
                <w:sz w:val="20"/>
              </w:rPr>
              <w:t>196,1</w:t>
            </w:r>
            <w:r w:rsidRPr="00633E66">
              <w:rPr>
                <w:rFonts w:ascii="Verdana" w:hAnsi="Verdana"/>
                <w:sz w:val="20"/>
              </w:rPr>
              <w:t xml:space="preserve">/ </w:t>
            </w:r>
            <w:r w:rsidR="00B77528">
              <w:rPr>
                <w:rFonts w:ascii="Verdana" w:hAnsi="Verdana"/>
                <w:sz w:val="20"/>
              </w:rPr>
              <w:t xml:space="preserve">756,3 = </w:t>
            </w:r>
            <w:r w:rsidR="000C2BE0">
              <w:rPr>
                <w:rFonts w:ascii="Verdana" w:hAnsi="Verdana"/>
                <w:sz w:val="20"/>
              </w:rPr>
              <w:t>25,93</w:t>
            </w:r>
            <w:r w:rsidRPr="00633E66">
              <w:rPr>
                <w:rFonts w:ascii="Verdana" w:hAnsi="Verdana"/>
                <w:sz w:val="20"/>
              </w:rPr>
              <w:t>%.</w:t>
            </w:r>
          </w:p>
          <w:p w:rsidR="007F004D" w:rsidRDefault="007F004D" w:rsidP="007F004D">
            <w:pPr>
              <w:jc w:val="both"/>
              <w:rPr>
                <w:rFonts w:ascii="Verdana" w:hAnsi="Verdana"/>
                <w:sz w:val="20"/>
              </w:rPr>
            </w:pPr>
          </w:p>
          <w:p w:rsidR="00546DD0" w:rsidRDefault="007F004D" w:rsidP="00546DD0">
            <w:pPr>
              <w:jc w:val="both"/>
              <w:rPr>
                <w:rFonts w:ascii="Verdana" w:hAnsi="Verdana"/>
                <w:sz w:val="20"/>
              </w:rPr>
            </w:pPr>
            <w:r w:rsidRPr="00633E66">
              <w:rPr>
                <w:rFonts w:ascii="Verdana" w:hAnsi="Verdana"/>
                <w:sz w:val="20"/>
              </w:rPr>
              <w:t xml:space="preserve">Por cuenta de este proyecto, se </w:t>
            </w:r>
            <w:r>
              <w:rPr>
                <w:rFonts w:ascii="Verdana" w:hAnsi="Verdana"/>
                <w:sz w:val="20"/>
              </w:rPr>
              <w:t>obligaron</w:t>
            </w:r>
            <w:r w:rsidRPr="00633E66">
              <w:rPr>
                <w:rFonts w:ascii="Verdana" w:hAnsi="Verdana"/>
                <w:sz w:val="20"/>
              </w:rPr>
              <w:t xml:space="preserve"> recursos por </w:t>
            </w:r>
            <w:r w:rsidR="0024186C">
              <w:rPr>
                <w:rFonts w:ascii="Verdana" w:hAnsi="Verdana"/>
                <w:sz w:val="20"/>
              </w:rPr>
              <w:t>196</w:t>
            </w:r>
            <w:r>
              <w:rPr>
                <w:rFonts w:ascii="Verdana" w:hAnsi="Verdana"/>
                <w:sz w:val="20"/>
              </w:rPr>
              <w:t>,</w:t>
            </w:r>
            <w:r w:rsidR="0024186C">
              <w:rPr>
                <w:rFonts w:ascii="Verdana" w:hAnsi="Verdana"/>
                <w:sz w:val="20"/>
              </w:rPr>
              <w:t>1</w:t>
            </w:r>
            <w:r>
              <w:rPr>
                <w:rFonts w:ascii="Verdana" w:hAnsi="Verdana"/>
                <w:sz w:val="20"/>
              </w:rPr>
              <w:t xml:space="preserve"> millones, equivalentes al </w:t>
            </w:r>
            <w:r w:rsidR="0024186C">
              <w:rPr>
                <w:rFonts w:ascii="Verdana" w:hAnsi="Verdana"/>
                <w:sz w:val="20"/>
              </w:rPr>
              <w:t>25,93</w:t>
            </w:r>
            <w:r>
              <w:rPr>
                <w:rFonts w:ascii="Verdana" w:hAnsi="Verdana"/>
                <w:sz w:val="20"/>
              </w:rPr>
              <w:t xml:space="preserve">%, frente a una meta del </w:t>
            </w:r>
            <w:r w:rsidR="0024186C">
              <w:rPr>
                <w:rFonts w:ascii="Verdana" w:hAnsi="Verdana"/>
                <w:sz w:val="20"/>
              </w:rPr>
              <w:t>52,81</w:t>
            </w:r>
            <w:r>
              <w:rPr>
                <w:rFonts w:ascii="Verdana" w:hAnsi="Verdana"/>
                <w:sz w:val="20"/>
              </w:rPr>
              <w:t xml:space="preserve">%, presentando un déficit de </w:t>
            </w:r>
            <w:r w:rsidR="0024186C">
              <w:rPr>
                <w:rFonts w:ascii="Verdana" w:hAnsi="Verdana"/>
                <w:sz w:val="20"/>
              </w:rPr>
              <w:t>203,4</w:t>
            </w:r>
            <w:r>
              <w:rPr>
                <w:rFonts w:ascii="Verdana" w:hAnsi="Verdana"/>
                <w:sz w:val="20"/>
              </w:rPr>
              <w:t xml:space="preserve">,3 millones, </w:t>
            </w:r>
            <w:r w:rsidR="00546DD0" w:rsidRPr="00C17A84">
              <w:rPr>
                <w:rFonts w:ascii="Verdana" w:hAnsi="Verdana" w:cs="Arial"/>
                <w:sz w:val="20"/>
                <w:szCs w:val="20"/>
              </w:rPr>
              <w:t>debido</w:t>
            </w:r>
            <w:r w:rsidR="00546DD0">
              <w:rPr>
                <w:rFonts w:ascii="Verdana" w:hAnsi="Verdana" w:cs="Arial"/>
                <w:sz w:val="20"/>
                <w:szCs w:val="20"/>
              </w:rPr>
              <w:t xml:space="preserve"> a que </w:t>
            </w:r>
            <w:r w:rsidR="00546DD0" w:rsidRPr="00C17A84">
              <w:rPr>
                <w:rFonts w:ascii="Verdana" w:hAnsi="Verdana" w:cs="Arial"/>
                <w:sz w:val="20"/>
                <w:szCs w:val="20"/>
              </w:rPr>
              <w:t>no</w:t>
            </w:r>
            <w:r w:rsidR="00546DD0">
              <w:rPr>
                <w:rFonts w:ascii="Verdana" w:hAnsi="Verdana"/>
                <w:sz w:val="20"/>
                <w:szCs w:val="20"/>
              </w:rPr>
              <w:t xml:space="preserve"> se tramitaron todos los contratos que se tenían previstos para el mes de septiembre</w:t>
            </w:r>
            <w:r w:rsidR="00546DD0">
              <w:rPr>
                <w:rFonts w:ascii="Verdana" w:eastAsia="Times New Roman" w:hAnsi="Verdana" w:cs="Times New Roman"/>
                <w:sz w:val="20"/>
                <w:szCs w:val="20"/>
              </w:rPr>
              <w:t xml:space="preserve"> y así mismo sus respectivos pagos.</w:t>
            </w:r>
            <w:r w:rsidR="00546DD0">
              <w:rPr>
                <w:rFonts w:ascii="Verdana" w:hAnsi="Verdana"/>
                <w:sz w:val="20"/>
              </w:rPr>
              <w:t xml:space="preserve"> </w:t>
            </w:r>
          </w:p>
          <w:p w:rsidR="00B77528" w:rsidRDefault="00B77528" w:rsidP="008F217D">
            <w:pPr>
              <w:jc w:val="both"/>
              <w:rPr>
                <w:rFonts w:ascii="Verdana" w:hAnsi="Verdana"/>
                <w:sz w:val="20"/>
              </w:rPr>
            </w:pPr>
          </w:p>
          <w:p w:rsidR="007F004D" w:rsidRDefault="007F004D" w:rsidP="008F217D">
            <w:pPr>
              <w:jc w:val="both"/>
              <w:rPr>
                <w:rFonts w:ascii="Verdana" w:hAnsi="Verdana"/>
                <w:sz w:val="20"/>
              </w:rPr>
            </w:pPr>
          </w:p>
          <w:p w:rsidR="007F004D" w:rsidRPr="00633E66" w:rsidRDefault="007F004D" w:rsidP="008F217D">
            <w:pPr>
              <w:jc w:val="both"/>
              <w:rPr>
                <w:rFonts w:ascii="Verdana" w:hAnsi="Verdana"/>
                <w:sz w:val="20"/>
              </w:rPr>
            </w:pPr>
          </w:p>
          <w:p w:rsidR="00283B0B" w:rsidRPr="00633E66" w:rsidRDefault="00283B0B" w:rsidP="007F004D">
            <w:pPr>
              <w:jc w:val="both"/>
            </w:pPr>
          </w:p>
        </w:tc>
        <w:bookmarkStart w:id="0" w:name="_GoBack"/>
        <w:bookmarkEnd w:id="0"/>
      </w:tr>
    </w:tbl>
    <w:p w:rsidR="00283B0B" w:rsidRPr="003A4A1F" w:rsidRDefault="00283B0B" w:rsidP="00283B0B">
      <w:pPr>
        <w:jc w:val="both"/>
        <w:rPr>
          <w:highlight w:val="yellow"/>
        </w:rPr>
      </w:pPr>
    </w:p>
    <w:p w:rsidR="00283B0B" w:rsidRPr="001B6727" w:rsidRDefault="00283B0B" w:rsidP="00283B0B">
      <w:pPr>
        <w:jc w:val="both"/>
        <w:rPr>
          <w:rFonts w:ascii="Verdana" w:hAnsi="Verdana"/>
          <w:b/>
        </w:rPr>
      </w:pPr>
      <w:r w:rsidRPr="001B6727">
        <w:rPr>
          <w:rFonts w:ascii="Verdana" w:hAnsi="Verdana"/>
          <w:b/>
          <w:sz w:val="22"/>
        </w:rPr>
        <w:t>Pro</w:t>
      </w:r>
      <w:r w:rsidR="00860A9A" w:rsidRPr="001B6727">
        <w:rPr>
          <w:rFonts w:ascii="Verdana" w:hAnsi="Verdana"/>
          <w:b/>
          <w:sz w:val="22"/>
        </w:rPr>
        <w:t>yecto de inversión C-0208-1000-8</w:t>
      </w:r>
      <w:r w:rsidRPr="001B6727">
        <w:rPr>
          <w:rFonts w:ascii="Verdana" w:hAnsi="Verdana"/>
          <w:b/>
          <w:sz w:val="22"/>
        </w:rPr>
        <w:t xml:space="preserve">: Distribución </w:t>
      </w:r>
      <w:r w:rsidR="00860A9A" w:rsidRPr="001B6727">
        <w:rPr>
          <w:rFonts w:ascii="Verdana" w:hAnsi="Verdana"/>
          <w:b/>
          <w:sz w:val="22"/>
        </w:rPr>
        <w:t xml:space="preserve">de recursos de Cooperación  Internacional No </w:t>
      </w:r>
      <w:r w:rsidR="005035AC" w:rsidRPr="001B6727">
        <w:rPr>
          <w:rFonts w:ascii="Verdana" w:hAnsi="Verdana"/>
          <w:b/>
          <w:sz w:val="22"/>
        </w:rPr>
        <w:t>Reembolsable a Entidades del Orden Nacional - Distribución Previo Concepto DNP</w:t>
      </w:r>
      <w:r w:rsidRPr="001B6727">
        <w:rPr>
          <w:rFonts w:ascii="Verdana" w:hAnsi="Verdana"/>
          <w:b/>
          <w:sz w:val="22"/>
        </w:rPr>
        <w:t>.</w:t>
      </w:r>
    </w:p>
    <w:p w:rsidR="001B6727" w:rsidRDefault="001B6727" w:rsidP="00283B0B">
      <w:pPr>
        <w:jc w:val="both"/>
        <w:rPr>
          <w:rFonts w:ascii="Verdana" w:hAnsi="Verdana"/>
          <w:b/>
          <w:sz w:val="20"/>
        </w:rPr>
      </w:pPr>
    </w:p>
    <w:p w:rsidR="00283B0B" w:rsidRPr="001B6727" w:rsidRDefault="00283B0B" w:rsidP="00283B0B">
      <w:pPr>
        <w:jc w:val="both"/>
        <w:rPr>
          <w:rFonts w:ascii="Verdana" w:hAnsi="Verdana"/>
          <w:sz w:val="20"/>
        </w:rPr>
      </w:pPr>
      <w:r w:rsidRPr="001B6727">
        <w:rPr>
          <w:rFonts w:ascii="Verdana" w:hAnsi="Verdana"/>
          <w:b/>
          <w:sz w:val="20"/>
        </w:rPr>
        <w:t>Indicador:</w:t>
      </w:r>
      <w:r w:rsidRPr="001B6727">
        <w:rPr>
          <w:rFonts w:ascii="Verdana" w:hAnsi="Verdana"/>
          <w:sz w:val="20"/>
        </w:rPr>
        <w:t xml:space="preserve"> Apropiación Distribuida / Apropiación Total.</w:t>
      </w:r>
    </w:p>
    <w:p w:rsidR="00283B0B" w:rsidRPr="001B6727" w:rsidRDefault="00283B0B" w:rsidP="00283B0B">
      <w:pPr>
        <w:jc w:val="both"/>
      </w:pPr>
      <w:r w:rsidRPr="001B6727">
        <w:rPr>
          <w:rFonts w:ascii="Verdana" w:hAnsi="Verdana"/>
          <w:b/>
          <w:sz w:val="20"/>
        </w:rPr>
        <w:t>Indicador:</w:t>
      </w:r>
      <w:r w:rsidR="005035AC" w:rsidRPr="001B6727">
        <w:rPr>
          <w:rFonts w:ascii="Verdana" w:hAnsi="Verdana"/>
          <w:sz w:val="20"/>
        </w:rPr>
        <w:t xml:space="preserve"> </w:t>
      </w:r>
      <w:r w:rsidR="00144144">
        <w:rPr>
          <w:rFonts w:ascii="Verdana" w:hAnsi="Verdana"/>
          <w:sz w:val="20"/>
        </w:rPr>
        <w:t>25.</w:t>
      </w:r>
      <w:r w:rsidR="001547D4">
        <w:rPr>
          <w:rFonts w:ascii="Verdana" w:hAnsi="Verdana"/>
          <w:sz w:val="20"/>
        </w:rPr>
        <w:t>772</w:t>
      </w:r>
      <w:r w:rsidR="005035AC" w:rsidRPr="001B6727">
        <w:rPr>
          <w:rFonts w:ascii="Verdana" w:hAnsi="Verdana"/>
          <w:sz w:val="20"/>
        </w:rPr>
        <w:t xml:space="preserve"> / 30.141,0</w:t>
      </w:r>
      <w:r w:rsidRPr="001B6727">
        <w:rPr>
          <w:rFonts w:ascii="Verdana" w:hAnsi="Verdana"/>
          <w:sz w:val="20"/>
        </w:rPr>
        <w:t xml:space="preserve"> = </w:t>
      </w:r>
      <w:r w:rsidR="001547D4">
        <w:rPr>
          <w:rFonts w:ascii="Verdana" w:hAnsi="Verdana"/>
          <w:sz w:val="20"/>
        </w:rPr>
        <w:t>85,50</w:t>
      </w:r>
      <w:r w:rsidRPr="001B6727">
        <w:rPr>
          <w:rFonts w:ascii="Verdana" w:hAnsi="Verdana"/>
          <w:sz w:val="20"/>
        </w:rPr>
        <w:t>%.</w:t>
      </w:r>
      <w:r w:rsidR="00144144">
        <w:rPr>
          <w:rFonts w:ascii="Verdana" w:hAnsi="Verdana"/>
          <w:sz w:val="20"/>
        </w:rPr>
        <w:t xml:space="preserve"> </w:t>
      </w:r>
    </w:p>
    <w:p w:rsidR="005035AC" w:rsidRPr="001B6727" w:rsidRDefault="005035AC" w:rsidP="00283B0B">
      <w:pPr>
        <w:jc w:val="both"/>
      </w:pPr>
    </w:p>
    <w:p w:rsidR="00283B0B" w:rsidRDefault="00283B0B" w:rsidP="00283B0B">
      <w:pPr>
        <w:jc w:val="both"/>
        <w:rPr>
          <w:rFonts w:ascii="Verdana" w:hAnsi="Verdana"/>
          <w:sz w:val="20"/>
        </w:rPr>
      </w:pPr>
      <w:r w:rsidRPr="001B6727">
        <w:rPr>
          <w:rFonts w:ascii="Verdana" w:hAnsi="Verdana"/>
          <w:sz w:val="20"/>
        </w:rPr>
        <w:t xml:space="preserve">En relación con el proyecto de inversión </w:t>
      </w:r>
      <w:r w:rsidR="005035AC" w:rsidRPr="001B6727">
        <w:rPr>
          <w:rFonts w:ascii="Verdana" w:hAnsi="Verdana"/>
          <w:sz w:val="20"/>
        </w:rPr>
        <w:t>C-0208-1000-8</w:t>
      </w:r>
      <w:r w:rsidRPr="001B6727">
        <w:rPr>
          <w:rFonts w:ascii="Verdana" w:hAnsi="Verdana"/>
          <w:sz w:val="20"/>
        </w:rPr>
        <w:t xml:space="preserve">: </w:t>
      </w:r>
      <w:r w:rsidR="005035AC" w:rsidRPr="001B6727">
        <w:rPr>
          <w:rFonts w:ascii="Verdana" w:hAnsi="Verdana"/>
          <w:b/>
          <w:sz w:val="20"/>
        </w:rPr>
        <w:t>Distribución de recursos de Cooperación  Internacional No Reembolsable a Entidades del Orden Nacional - Distribución Previo Concepto DNP</w:t>
      </w:r>
      <w:r w:rsidRPr="001B6727">
        <w:rPr>
          <w:rFonts w:ascii="Verdana" w:hAnsi="Verdana"/>
          <w:sz w:val="20"/>
        </w:rPr>
        <w:t xml:space="preserve">, se cuenta con una apropiación de </w:t>
      </w:r>
      <w:r w:rsidR="005035AC" w:rsidRPr="001B6727">
        <w:rPr>
          <w:rFonts w:ascii="Verdana" w:hAnsi="Verdana"/>
          <w:sz w:val="20"/>
        </w:rPr>
        <w:t>30.141</w:t>
      </w:r>
      <w:r w:rsidRPr="001B6727">
        <w:rPr>
          <w:rFonts w:ascii="Verdana" w:hAnsi="Verdana"/>
          <w:sz w:val="20"/>
        </w:rPr>
        <w:t>,0 millones para distribuir espacio fiscal con el propósito de incorporar a los presupuestos de inversión de algunas entidades públicas del nivel nacional, los recursos de cooperación financiera internacional no reembolsable que dichas entidades logren gestionar durante la vigencia, sin que sea necesario la expedición de un decreto para incorporar dichos recursos. Durante el transcurso de la vigencia se incorporarán los citados recursos en la medida en que lo soliciten las entidades, previo concepto favorable del Departamento Nacional de Planeación - DNP y aprobación por parte del Ministerio de Hacienda y Crédito Público.</w:t>
      </w:r>
      <w:r w:rsidRPr="005035AC">
        <w:rPr>
          <w:rFonts w:ascii="Verdana" w:hAnsi="Verdana"/>
          <w:sz w:val="20"/>
        </w:rPr>
        <w:t xml:space="preserve">   </w:t>
      </w:r>
    </w:p>
    <w:p w:rsidR="007705E3" w:rsidRPr="005035AC" w:rsidRDefault="007705E3" w:rsidP="00283B0B">
      <w:pPr>
        <w:jc w:val="both"/>
        <w:rPr>
          <w:rFonts w:ascii="Verdana" w:hAnsi="Verdana"/>
          <w:sz w:val="20"/>
        </w:rPr>
      </w:pPr>
    </w:p>
    <w:p w:rsidR="00144144" w:rsidRDefault="007705E3" w:rsidP="007705E3">
      <w:pPr>
        <w:jc w:val="both"/>
        <w:rPr>
          <w:rFonts w:ascii="Verdana" w:hAnsi="Verdana"/>
          <w:sz w:val="20"/>
        </w:rPr>
      </w:pPr>
      <w:r w:rsidRPr="007705E3">
        <w:rPr>
          <w:rFonts w:ascii="Verdana" w:hAnsi="Verdana"/>
          <w:sz w:val="20"/>
        </w:rPr>
        <w:t xml:space="preserve">El </w:t>
      </w:r>
      <w:r w:rsidR="00144144">
        <w:rPr>
          <w:rFonts w:ascii="Verdana" w:hAnsi="Verdana"/>
          <w:sz w:val="20"/>
        </w:rPr>
        <w:t>28</w:t>
      </w:r>
      <w:r w:rsidRPr="007705E3">
        <w:rPr>
          <w:rFonts w:ascii="Verdana" w:hAnsi="Verdana"/>
          <w:sz w:val="20"/>
        </w:rPr>
        <w:t xml:space="preserve"> de </w:t>
      </w:r>
      <w:r w:rsidR="00144144">
        <w:rPr>
          <w:rFonts w:ascii="Verdana" w:hAnsi="Verdana"/>
          <w:sz w:val="20"/>
        </w:rPr>
        <w:t>marzo</w:t>
      </w:r>
      <w:r w:rsidRPr="007705E3">
        <w:rPr>
          <w:rFonts w:ascii="Verdana" w:hAnsi="Verdana"/>
          <w:sz w:val="20"/>
        </w:rPr>
        <w:t xml:space="preserve"> el Ministerio de Hacienda y Crédito Público aprobó </w:t>
      </w:r>
      <w:r>
        <w:rPr>
          <w:rFonts w:ascii="Verdana" w:hAnsi="Verdana"/>
          <w:sz w:val="20"/>
        </w:rPr>
        <w:t>la resolución</w:t>
      </w:r>
      <w:r w:rsidRPr="007705E3">
        <w:rPr>
          <w:rFonts w:ascii="Verdana" w:hAnsi="Verdana"/>
          <w:sz w:val="20"/>
        </w:rPr>
        <w:t xml:space="preserve"> </w:t>
      </w:r>
      <w:r>
        <w:rPr>
          <w:rFonts w:ascii="Verdana" w:hAnsi="Verdana"/>
          <w:sz w:val="20"/>
        </w:rPr>
        <w:t>107 del</w:t>
      </w:r>
      <w:r w:rsidRPr="007705E3">
        <w:rPr>
          <w:rFonts w:ascii="Verdana" w:hAnsi="Verdana"/>
          <w:sz w:val="20"/>
        </w:rPr>
        <w:t xml:space="preserve"> 201</w:t>
      </w:r>
      <w:r>
        <w:rPr>
          <w:rFonts w:ascii="Verdana" w:hAnsi="Verdana"/>
          <w:sz w:val="20"/>
        </w:rPr>
        <w:t>9</w:t>
      </w:r>
      <w:r w:rsidRPr="007705E3">
        <w:rPr>
          <w:rFonts w:ascii="Verdana" w:hAnsi="Verdana"/>
          <w:sz w:val="20"/>
        </w:rPr>
        <w:t xml:space="preserve">, mediante </w:t>
      </w:r>
      <w:r>
        <w:rPr>
          <w:rFonts w:ascii="Verdana" w:hAnsi="Verdana"/>
          <w:sz w:val="20"/>
        </w:rPr>
        <w:t>la cual</w:t>
      </w:r>
      <w:r w:rsidRPr="007705E3">
        <w:rPr>
          <w:rFonts w:ascii="Verdana" w:hAnsi="Verdana"/>
          <w:sz w:val="20"/>
        </w:rPr>
        <w:t xml:space="preserve"> se distribuyó espacio fiscal para incorporar recursos de cooperación internacional </w:t>
      </w:r>
      <w:r>
        <w:rPr>
          <w:rFonts w:ascii="Verdana" w:hAnsi="Verdana"/>
          <w:sz w:val="20"/>
        </w:rPr>
        <w:t>al presupuesto</w:t>
      </w:r>
      <w:r w:rsidRPr="007705E3">
        <w:rPr>
          <w:rFonts w:ascii="Verdana" w:hAnsi="Verdana"/>
          <w:sz w:val="20"/>
        </w:rPr>
        <w:t xml:space="preserve"> de inversión del Ministerio de Comercio, Industria y Turismo por </w:t>
      </w:r>
      <w:r w:rsidR="00621DAA">
        <w:rPr>
          <w:rFonts w:ascii="Verdana" w:hAnsi="Verdana"/>
          <w:sz w:val="20"/>
        </w:rPr>
        <w:t>24.659,1</w:t>
      </w:r>
      <w:r w:rsidRPr="007705E3">
        <w:rPr>
          <w:rFonts w:ascii="Verdana" w:hAnsi="Verdana"/>
          <w:sz w:val="20"/>
        </w:rPr>
        <w:t xml:space="preserve">  </w:t>
      </w:r>
      <w:r w:rsidR="00144144">
        <w:rPr>
          <w:rFonts w:ascii="Verdana" w:hAnsi="Verdana"/>
          <w:sz w:val="20"/>
        </w:rPr>
        <w:t xml:space="preserve">millones; </w:t>
      </w:r>
      <w:r w:rsidR="00144144" w:rsidRPr="007705E3">
        <w:rPr>
          <w:rFonts w:ascii="Verdana" w:hAnsi="Verdana"/>
          <w:sz w:val="20"/>
        </w:rPr>
        <w:t xml:space="preserve">El </w:t>
      </w:r>
      <w:r w:rsidR="00144144">
        <w:rPr>
          <w:rFonts w:ascii="Verdana" w:hAnsi="Verdana"/>
          <w:sz w:val="20"/>
        </w:rPr>
        <w:t>24</w:t>
      </w:r>
      <w:r w:rsidR="00144144" w:rsidRPr="007705E3">
        <w:rPr>
          <w:rFonts w:ascii="Verdana" w:hAnsi="Verdana"/>
          <w:sz w:val="20"/>
        </w:rPr>
        <w:t xml:space="preserve"> de </w:t>
      </w:r>
      <w:r w:rsidR="00144144">
        <w:rPr>
          <w:rFonts w:ascii="Verdana" w:hAnsi="Verdana"/>
          <w:sz w:val="20"/>
        </w:rPr>
        <w:t>abril</w:t>
      </w:r>
      <w:r w:rsidR="00144144" w:rsidRPr="007705E3">
        <w:rPr>
          <w:rFonts w:ascii="Verdana" w:hAnsi="Verdana"/>
          <w:sz w:val="20"/>
        </w:rPr>
        <w:t xml:space="preserve"> el Ministerio de Hacienda y Crédito Público aprobó </w:t>
      </w:r>
      <w:r w:rsidR="00144144">
        <w:rPr>
          <w:rFonts w:ascii="Verdana" w:hAnsi="Verdana"/>
          <w:sz w:val="20"/>
        </w:rPr>
        <w:t>la resolución</w:t>
      </w:r>
      <w:r w:rsidR="00144144" w:rsidRPr="007705E3">
        <w:rPr>
          <w:rFonts w:ascii="Verdana" w:hAnsi="Verdana"/>
          <w:sz w:val="20"/>
        </w:rPr>
        <w:t xml:space="preserve"> </w:t>
      </w:r>
      <w:r w:rsidR="00144144">
        <w:rPr>
          <w:rFonts w:ascii="Verdana" w:hAnsi="Verdana"/>
          <w:sz w:val="20"/>
        </w:rPr>
        <w:t>143 del</w:t>
      </w:r>
      <w:r w:rsidR="00144144" w:rsidRPr="007705E3">
        <w:rPr>
          <w:rFonts w:ascii="Verdana" w:hAnsi="Verdana"/>
          <w:sz w:val="20"/>
        </w:rPr>
        <w:t xml:space="preserve"> 201</w:t>
      </w:r>
      <w:r w:rsidR="00144144">
        <w:rPr>
          <w:rFonts w:ascii="Verdana" w:hAnsi="Verdana"/>
          <w:sz w:val="20"/>
        </w:rPr>
        <w:t>9</w:t>
      </w:r>
      <w:r w:rsidR="00144144" w:rsidRPr="007705E3">
        <w:rPr>
          <w:rFonts w:ascii="Verdana" w:hAnsi="Verdana"/>
          <w:sz w:val="20"/>
        </w:rPr>
        <w:t xml:space="preserve">, mediante </w:t>
      </w:r>
      <w:r w:rsidR="00144144">
        <w:rPr>
          <w:rFonts w:ascii="Verdana" w:hAnsi="Verdana"/>
          <w:sz w:val="20"/>
        </w:rPr>
        <w:lastRenderedPageBreak/>
        <w:t>la cual</w:t>
      </w:r>
      <w:r w:rsidR="00144144" w:rsidRPr="007705E3">
        <w:rPr>
          <w:rFonts w:ascii="Verdana" w:hAnsi="Verdana"/>
          <w:sz w:val="20"/>
        </w:rPr>
        <w:t xml:space="preserve"> se distribuyó espacio fiscal para incorporar recursos de cooperación internacional </w:t>
      </w:r>
      <w:r w:rsidR="00144144">
        <w:rPr>
          <w:rFonts w:ascii="Verdana" w:hAnsi="Verdana"/>
          <w:sz w:val="20"/>
        </w:rPr>
        <w:t>al presupuesto de inversión de la Comisión para el Esclarecimiento  de la Verdad por 684,0 millones;</w:t>
      </w:r>
      <w:r w:rsidR="00144144" w:rsidRPr="00144144">
        <w:rPr>
          <w:rFonts w:ascii="Verdana" w:hAnsi="Verdana"/>
          <w:sz w:val="20"/>
        </w:rPr>
        <w:t xml:space="preserve"> </w:t>
      </w:r>
      <w:r w:rsidR="00144144" w:rsidRPr="007705E3">
        <w:rPr>
          <w:rFonts w:ascii="Verdana" w:hAnsi="Verdana"/>
          <w:sz w:val="20"/>
        </w:rPr>
        <w:t xml:space="preserve">El </w:t>
      </w:r>
      <w:r w:rsidR="00144144">
        <w:rPr>
          <w:rFonts w:ascii="Verdana" w:hAnsi="Verdana"/>
          <w:sz w:val="20"/>
        </w:rPr>
        <w:t xml:space="preserve">17 </w:t>
      </w:r>
      <w:r w:rsidR="00144144" w:rsidRPr="007705E3">
        <w:rPr>
          <w:rFonts w:ascii="Verdana" w:hAnsi="Verdana"/>
          <w:sz w:val="20"/>
        </w:rPr>
        <w:t xml:space="preserve">de </w:t>
      </w:r>
      <w:r w:rsidR="00144144">
        <w:rPr>
          <w:rFonts w:ascii="Verdana" w:hAnsi="Verdana"/>
          <w:sz w:val="20"/>
        </w:rPr>
        <w:t>mayo</w:t>
      </w:r>
      <w:r w:rsidR="00144144" w:rsidRPr="007705E3">
        <w:rPr>
          <w:rFonts w:ascii="Verdana" w:hAnsi="Verdana"/>
          <w:sz w:val="20"/>
        </w:rPr>
        <w:t xml:space="preserve"> el Ministerio de Hacienda y Crédito Público aprobó </w:t>
      </w:r>
      <w:r w:rsidR="00144144">
        <w:rPr>
          <w:rFonts w:ascii="Verdana" w:hAnsi="Verdana"/>
          <w:sz w:val="20"/>
        </w:rPr>
        <w:t>la resolución</w:t>
      </w:r>
      <w:r w:rsidR="00144144" w:rsidRPr="007705E3">
        <w:rPr>
          <w:rFonts w:ascii="Verdana" w:hAnsi="Verdana"/>
          <w:sz w:val="20"/>
        </w:rPr>
        <w:t xml:space="preserve"> </w:t>
      </w:r>
      <w:r w:rsidR="00144144">
        <w:rPr>
          <w:rFonts w:ascii="Verdana" w:hAnsi="Verdana"/>
          <w:sz w:val="20"/>
        </w:rPr>
        <w:t>175 del</w:t>
      </w:r>
      <w:r w:rsidR="00144144" w:rsidRPr="007705E3">
        <w:rPr>
          <w:rFonts w:ascii="Verdana" w:hAnsi="Verdana"/>
          <w:sz w:val="20"/>
        </w:rPr>
        <w:t xml:space="preserve"> 201</w:t>
      </w:r>
      <w:r w:rsidR="00144144">
        <w:rPr>
          <w:rFonts w:ascii="Verdana" w:hAnsi="Verdana"/>
          <w:sz w:val="20"/>
        </w:rPr>
        <w:t>9</w:t>
      </w:r>
      <w:r w:rsidR="00144144" w:rsidRPr="007705E3">
        <w:rPr>
          <w:rFonts w:ascii="Verdana" w:hAnsi="Verdana"/>
          <w:sz w:val="20"/>
        </w:rPr>
        <w:t xml:space="preserve">, mediante </w:t>
      </w:r>
      <w:r w:rsidR="00144144">
        <w:rPr>
          <w:rFonts w:ascii="Verdana" w:hAnsi="Verdana"/>
          <w:sz w:val="20"/>
        </w:rPr>
        <w:t>la cual</w:t>
      </w:r>
      <w:r w:rsidR="00144144" w:rsidRPr="007705E3">
        <w:rPr>
          <w:rFonts w:ascii="Verdana" w:hAnsi="Verdana"/>
          <w:sz w:val="20"/>
        </w:rPr>
        <w:t xml:space="preserve"> se distribuyó espacio fiscal para incorporar recursos de cooperación internacional </w:t>
      </w:r>
      <w:r w:rsidR="00144144">
        <w:rPr>
          <w:rFonts w:ascii="Verdana" w:hAnsi="Verdana"/>
          <w:sz w:val="20"/>
        </w:rPr>
        <w:t xml:space="preserve">al presupuesto de inversión de la Unidad de Atención  y Reparación  Integral  a </w:t>
      </w:r>
      <w:r w:rsidR="00A95CC2">
        <w:rPr>
          <w:rFonts w:ascii="Verdana" w:hAnsi="Verdana"/>
          <w:sz w:val="20"/>
        </w:rPr>
        <w:t xml:space="preserve">las Victimas por 266,7 millones; </w:t>
      </w:r>
      <w:r w:rsidR="00F14703" w:rsidRPr="007705E3">
        <w:rPr>
          <w:rFonts w:ascii="Verdana" w:hAnsi="Verdana"/>
          <w:sz w:val="20"/>
        </w:rPr>
        <w:t xml:space="preserve">El </w:t>
      </w:r>
      <w:r w:rsidR="00E338C0">
        <w:rPr>
          <w:rFonts w:ascii="Verdana" w:hAnsi="Verdana"/>
          <w:sz w:val="20"/>
        </w:rPr>
        <w:t>12</w:t>
      </w:r>
      <w:r w:rsidR="00F14703" w:rsidRPr="007705E3">
        <w:rPr>
          <w:rFonts w:ascii="Verdana" w:hAnsi="Verdana"/>
          <w:sz w:val="20"/>
        </w:rPr>
        <w:t xml:space="preserve"> de </w:t>
      </w:r>
      <w:r w:rsidR="00E338C0">
        <w:rPr>
          <w:rFonts w:ascii="Verdana" w:hAnsi="Verdana"/>
          <w:sz w:val="20"/>
        </w:rPr>
        <w:t>julio de 2019</w:t>
      </w:r>
      <w:r w:rsidR="00F14703" w:rsidRPr="007705E3">
        <w:rPr>
          <w:rFonts w:ascii="Verdana" w:hAnsi="Verdana"/>
          <w:sz w:val="20"/>
        </w:rPr>
        <w:t xml:space="preserve"> el Ministerio de Hacienda y Crédito Público aprobó </w:t>
      </w:r>
      <w:r w:rsidR="00F14703">
        <w:rPr>
          <w:rFonts w:ascii="Verdana" w:hAnsi="Verdana"/>
          <w:sz w:val="20"/>
        </w:rPr>
        <w:t>la resolución</w:t>
      </w:r>
      <w:r w:rsidR="00F14703" w:rsidRPr="007705E3">
        <w:rPr>
          <w:rFonts w:ascii="Verdana" w:hAnsi="Verdana"/>
          <w:sz w:val="20"/>
        </w:rPr>
        <w:t xml:space="preserve"> </w:t>
      </w:r>
      <w:r w:rsidR="00E338C0">
        <w:rPr>
          <w:rFonts w:ascii="Verdana" w:hAnsi="Verdana"/>
          <w:sz w:val="20"/>
        </w:rPr>
        <w:t>232</w:t>
      </w:r>
      <w:r w:rsidR="00F14703">
        <w:rPr>
          <w:rFonts w:ascii="Verdana" w:hAnsi="Verdana"/>
          <w:sz w:val="20"/>
        </w:rPr>
        <w:t xml:space="preserve"> del</w:t>
      </w:r>
      <w:r w:rsidR="00F14703" w:rsidRPr="007705E3">
        <w:rPr>
          <w:rFonts w:ascii="Verdana" w:hAnsi="Verdana"/>
          <w:sz w:val="20"/>
        </w:rPr>
        <w:t xml:space="preserve"> 201</w:t>
      </w:r>
      <w:r w:rsidR="00F14703">
        <w:rPr>
          <w:rFonts w:ascii="Verdana" w:hAnsi="Verdana"/>
          <w:sz w:val="20"/>
        </w:rPr>
        <w:t>9</w:t>
      </w:r>
      <w:r w:rsidR="00F14703" w:rsidRPr="007705E3">
        <w:rPr>
          <w:rFonts w:ascii="Verdana" w:hAnsi="Verdana"/>
          <w:sz w:val="20"/>
        </w:rPr>
        <w:t xml:space="preserve">, mediante </w:t>
      </w:r>
      <w:r w:rsidR="00F14703">
        <w:rPr>
          <w:rFonts w:ascii="Verdana" w:hAnsi="Verdana"/>
          <w:sz w:val="20"/>
        </w:rPr>
        <w:t>la cual</w:t>
      </w:r>
      <w:r w:rsidR="00F14703" w:rsidRPr="007705E3">
        <w:rPr>
          <w:rFonts w:ascii="Verdana" w:hAnsi="Verdana"/>
          <w:sz w:val="20"/>
        </w:rPr>
        <w:t xml:space="preserve"> se distribuyó espacio fiscal para incorporar recursos de cooperación internacional </w:t>
      </w:r>
      <w:r w:rsidR="00F14703">
        <w:rPr>
          <w:rFonts w:ascii="Verdana" w:hAnsi="Verdana"/>
          <w:sz w:val="20"/>
        </w:rPr>
        <w:t xml:space="preserve">al presupuesto de inversión </w:t>
      </w:r>
      <w:r w:rsidR="00E338C0" w:rsidRPr="00E338C0">
        <w:rPr>
          <w:rFonts w:ascii="Verdana" w:hAnsi="Verdana"/>
          <w:sz w:val="20"/>
        </w:rPr>
        <w:t>para la Unidad Administrativa Especial para la Gestión de Restitución de Tierras Despojadas – UAEGRTD</w:t>
      </w:r>
      <w:r w:rsidR="00E338C0">
        <w:rPr>
          <w:rFonts w:ascii="Verdana" w:hAnsi="Verdana"/>
          <w:sz w:val="20"/>
        </w:rPr>
        <w:t xml:space="preserve"> por 81</w:t>
      </w:r>
      <w:r w:rsidR="00F14703">
        <w:rPr>
          <w:rFonts w:ascii="Verdana" w:hAnsi="Verdana"/>
          <w:sz w:val="20"/>
        </w:rPr>
        <w:t>,0 millones</w:t>
      </w:r>
      <w:r w:rsidR="00E338C0">
        <w:rPr>
          <w:rFonts w:ascii="Verdana" w:hAnsi="Verdana"/>
          <w:sz w:val="20"/>
        </w:rPr>
        <w:t>.</w:t>
      </w:r>
    </w:p>
    <w:p w:rsidR="00E04298" w:rsidRDefault="00E04298" w:rsidP="007705E3">
      <w:pPr>
        <w:jc w:val="both"/>
        <w:rPr>
          <w:rFonts w:ascii="Verdana" w:hAnsi="Verdana"/>
          <w:sz w:val="20"/>
        </w:rPr>
      </w:pPr>
    </w:p>
    <w:p w:rsidR="00204119" w:rsidRDefault="00204119" w:rsidP="007705E3">
      <w:pPr>
        <w:jc w:val="both"/>
        <w:rPr>
          <w:rFonts w:ascii="Verdana" w:hAnsi="Verdana"/>
          <w:sz w:val="20"/>
        </w:rPr>
      </w:pPr>
    </w:p>
    <w:p w:rsidR="00204119" w:rsidRDefault="00204119" w:rsidP="007705E3">
      <w:pPr>
        <w:jc w:val="both"/>
        <w:rPr>
          <w:rFonts w:ascii="Verdana" w:hAnsi="Verdana"/>
          <w:sz w:val="20"/>
        </w:rPr>
      </w:pPr>
    </w:p>
    <w:p w:rsidR="00283B0B" w:rsidRPr="007705E3" w:rsidRDefault="00283B0B" w:rsidP="00B9595B">
      <w:pPr>
        <w:rPr>
          <w:rFonts w:ascii="Verdana" w:hAnsi="Verdana"/>
          <w:sz w:val="20"/>
        </w:rPr>
      </w:pPr>
    </w:p>
    <w:sectPr w:rsidR="00283B0B" w:rsidRPr="007705E3" w:rsidSect="00FB3B05">
      <w:headerReference w:type="default" r:id="rId8"/>
      <w:footerReference w:type="default" r:id="rId9"/>
      <w:pgSz w:w="15840" w:h="12240" w:orient="landscape"/>
      <w:pgMar w:top="1985"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689" w:rsidRDefault="00532689" w:rsidP="000D42D2">
      <w:r>
        <w:separator/>
      </w:r>
    </w:p>
  </w:endnote>
  <w:endnote w:type="continuationSeparator" w:id="0">
    <w:p w:rsidR="00532689" w:rsidRDefault="00532689" w:rsidP="000D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C4" w:rsidRDefault="003A11C2" w:rsidP="00B421C7">
    <w:pPr>
      <w:pStyle w:val="Piedepgina"/>
      <w:tabs>
        <w:tab w:val="clear" w:pos="4252"/>
        <w:tab w:val="clear" w:pos="8504"/>
        <w:tab w:val="left" w:pos="4138"/>
      </w:tabs>
    </w:pPr>
    <w:r>
      <w:rPr>
        <w:noProof/>
        <w:lang w:val="es-ES"/>
      </w:rPr>
      <w:drawing>
        <wp:anchor distT="0" distB="0" distL="114300" distR="114300" simplePos="0" relativeHeight="251666432" behindDoc="1" locked="0" layoutInCell="1" allowOverlap="1" wp14:anchorId="6808CC7D" wp14:editId="3499C841">
          <wp:simplePos x="0" y="0"/>
          <wp:positionH relativeFrom="column">
            <wp:posOffset>-881380</wp:posOffset>
          </wp:positionH>
          <wp:positionV relativeFrom="paragraph">
            <wp:posOffset>-285750</wp:posOffset>
          </wp:positionV>
          <wp:extent cx="10020300" cy="8953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castrillon:Documents:Logotipo APC-2018:PIEZAS:Hoja Carta:Formato-hoja carta-04.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02030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1C7">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689" w:rsidRDefault="00532689" w:rsidP="000D42D2">
      <w:r>
        <w:separator/>
      </w:r>
    </w:p>
  </w:footnote>
  <w:footnote w:type="continuationSeparator" w:id="0">
    <w:p w:rsidR="00532689" w:rsidRDefault="00532689" w:rsidP="000D42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1DC4" w:rsidRDefault="003A11C2" w:rsidP="00FB3B05">
    <w:pPr>
      <w:pStyle w:val="Encabezado"/>
      <w:tabs>
        <w:tab w:val="clear" w:pos="4252"/>
        <w:tab w:val="clear" w:pos="8504"/>
        <w:tab w:val="left" w:pos="2822"/>
      </w:tabs>
    </w:pPr>
    <w:r>
      <w:rPr>
        <w:noProof/>
        <w:lang w:val="es-ES"/>
      </w:rPr>
      <w:drawing>
        <wp:anchor distT="0" distB="0" distL="114300" distR="114300" simplePos="0" relativeHeight="251664384" behindDoc="1" locked="0" layoutInCell="1" allowOverlap="1">
          <wp:simplePos x="0" y="0"/>
          <wp:positionH relativeFrom="column">
            <wp:posOffset>23495</wp:posOffset>
          </wp:positionH>
          <wp:positionV relativeFrom="paragraph">
            <wp:posOffset>-135890</wp:posOffset>
          </wp:positionV>
          <wp:extent cx="4057650" cy="633095"/>
          <wp:effectExtent l="0" t="0" r="0" b="0"/>
          <wp:wrapTight wrapText="bothSides">
            <wp:wrapPolygon edited="0">
              <wp:start x="0" y="0"/>
              <wp:lineTo x="0" y="20798"/>
              <wp:lineTo x="21499" y="20798"/>
              <wp:lineTo x="21499" y="0"/>
              <wp:lineTo x="0" y="0"/>
            </wp:wrapPolygon>
          </wp:wrapTight>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057650" cy="633095"/>
                  </a:xfrm>
                  <a:prstGeom prst="rect">
                    <a:avLst/>
                  </a:prstGeom>
                </pic:spPr>
              </pic:pic>
            </a:graphicData>
          </a:graphic>
          <wp14:sizeRelH relativeFrom="margin">
            <wp14:pctWidth>0</wp14:pctWidth>
          </wp14:sizeRelH>
          <wp14:sizeRelV relativeFrom="margin">
            <wp14:pctHeight>0</wp14:pctHeight>
          </wp14:sizeRelV>
        </wp:anchor>
      </w:drawing>
    </w:r>
    <w:r w:rsidR="009B3370">
      <w:rPr>
        <w:rFonts w:ascii="Times New Roman" w:hAnsi="Times New Roman" w:cs="Times New Roman"/>
        <w:noProof/>
        <w:lang w:val="es-ES"/>
      </w:rPr>
      <mc:AlternateContent>
        <mc:Choice Requires="wps">
          <w:drawing>
            <wp:anchor distT="0" distB="0" distL="114300" distR="114300" simplePos="0" relativeHeight="251663360" behindDoc="0" locked="0" layoutInCell="1" allowOverlap="1" wp14:anchorId="51262CCC" wp14:editId="65177D0C">
              <wp:simplePos x="0" y="0"/>
              <wp:positionH relativeFrom="margin">
                <wp:posOffset>2332355</wp:posOffset>
              </wp:positionH>
              <wp:positionV relativeFrom="paragraph">
                <wp:posOffset>607060</wp:posOffset>
              </wp:positionV>
              <wp:extent cx="2593340" cy="176530"/>
              <wp:effectExtent l="0" t="0" r="0" b="50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334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262CCC" id="_x0000_t202" coordsize="21600,21600" o:spt="202" path="m,l,21600r21600,l21600,xe">
              <v:stroke joinstyle="miter"/>
              <v:path gradientshapeok="t" o:connecttype="rect"/>
            </v:shapetype>
            <v:shape id="Cuadro de texto 1" o:spid="_x0000_s1026" type="#_x0000_t202" style="position:absolute;margin-left:183.65pt;margin-top:47.8pt;width:204.2pt;height:13.9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iuQIAAMAFAAAOAAAAZHJzL2Uyb0RvYy54bWysVG1vmzAQ/j5p/8Hyd8pLIAmopGohTJO6&#10;F6nbD3CwCdbAZrYT0lX77zubJk1bTZq28cGyfefn7rl7uMurQ9+hPVOaS5Hj8CLAiIlaUi62Of76&#10;pfKWGGlDBCWdFCzH90zjq9XbN5fjkLFItrKjTCEAETobhxy3xgyZ7+u6ZT3RF3JgAoyNVD0xcFRb&#10;nyoyAnrf+VEQzP1RKjooWTOt4bacjHjl8JuG1eZT02hmUJdjyM24Vbl1Y1d/dUmyrSJDy+vHNMhf&#10;ZNETLiDoCaokhqCd4q+gel4rqWVjLmrZ+7JpeM0cB2ATBi/Y3LVkYI4LFEcPpzLp/wdbf9x/VohT&#10;6B1GgvTQomJHqJKIMmTYwUgU2iKNg87A924Ab3O4kQf7wBLWw62sv2kkZNESsWXXSsmxZYRCku6l&#10;f/Z0wtEWZDN+kBSikZ2RDujQqN4CQk0QoEOz7k8NgjxQDZdRks5mMZhqsIWLeTJzHfRJdnw9KG3e&#10;Mdkju8mxAgE4dLK/1QZ4gOvRxQYTsuJd50TQiWcX4DjdQGx4am02C9fThzRI18v1MvbiaL724qAs&#10;veuqiL15FS6SclYWRRn+tHHDOGs5pUzYMEd9hfGf9e9R6ZMyTgrTsuPUwtmUtNpuik6hPQF9V+6z&#10;3YLkz9z852k4M3B5QSmM4uAmSr1qvlx4cRUnXroIll4QpjfpPIjTuKyeU7rlgv07JTTmOE2iZBLT&#10;b7kF7nvNjWQ9NzBBOt7neHlyIpmV4FpQ11pDeDftz0ph038qBVTs2GgnWKvRSa3msDkAilXxRtJ7&#10;kK6SoCwQIYw92LRS/cBohBGSY/19RxTDqHsvQP5pGFutGneIk0UEB3Vu2ZxbiKgBKscGo2lbmGlO&#10;7QbFty1EOv5w1/DLVNyp+SkroGIPMCYcqceRZufQ+dl5PQ3e1S8AAAD//wMAUEsDBBQABgAIAAAA&#10;IQDLloAu3wAAAAoBAAAPAAAAZHJzL2Rvd25yZXYueG1sTI/BTsMwEETvSPyDtUjcqENC4xLiVBVq&#10;yxFoI85ubJKIeG3Fbhr+nuUEx9U8zbwt17Md2GTG0DuUcL9IgBlsnO6xlVAfd3crYCEq1GpwaCR8&#10;mwDr6vqqVIV2F3w30yG2jEowFEpCF6MvOA9NZ6wKC+cNUvbpRqsinWPL9aguVG4HniZJzq3qkRY6&#10;5c1zZ5qvw9lK8NHvxcv4+rbZ7qak/tjXad9upby9mTdPwKKZ4x8Mv/qkDhU5ndwZdWCDhCwXGaES&#10;Hpc5MAKEWApgJyLT7AF4VfL/L1Q/AAAA//8DAFBLAQItABQABgAIAAAAIQC2gziS/gAAAOEBAAAT&#10;AAAAAAAAAAAAAAAAAAAAAABbQ29udGVudF9UeXBlc10ueG1sUEsBAi0AFAAGAAgAAAAhADj9If/W&#10;AAAAlAEAAAsAAAAAAAAAAAAAAAAALwEAAF9yZWxzLy5yZWxzUEsBAi0AFAAGAAgAAAAhAIT/7WK5&#10;AgAAwAUAAA4AAAAAAAAAAAAAAAAALgIAAGRycy9lMm9Eb2MueG1sUEsBAi0AFAAGAAgAAAAhAMuW&#10;gC7fAAAACgEAAA8AAAAAAAAAAAAAAAAAEwUAAGRycy9kb3ducmV2LnhtbFBLBQYAAAAABAAEAPMA&#10;AAAfBgAAAAA=&#10;" filled="f" stroked="f">
              <v:textbox style="mso-fit-shape-to-text:t">
                <w:txbxContent>
                  <w:p w:rsidR="009B3370" w:rsidRDefault="009B3370" w:rsidP="009B3370">
                    <w:pPr>
                      <w:pStyle w:val="NormalWeb"/>
                      <w:tabs>
                        <w:tab w:val="center" w:pos="4419"/>
                        <w:tab w:val="right" w:pos="7655"/>
                        <w:tab w:val="right" w:pos="8838"/>
                      </w:tabs>
                      <w:rPr>
                        <w:rFonts w:ascii="Arial Narrow" w:eastAsiaTheme="minorHAnsi" w:hAnsi="Arial Narrow" w:cstheme="minorBidi"/>
                        <w:bCs/>
                        <w:sz w:val="14"/>
                        <w:lang w:val="es-MX"/>
                      </w:rPr>
                    </w:pPr>
                  </w:p>
                </w:txbxContent>
              </v:textbox>
              <w10:wrap anchorx="margin"/>
            </v:shape>
          </w:pict>
        </mc:Fallback>
      </mc:AlternateContent>
    </w:r>
    <w:r w:rsidR="00FB3B0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E7498"/>
    <w:multiLevelType w:val="hybridMultilevel"/>
    <w:tmpl w:val="C0B69214"/>
    <w:lvl w:ilvl="0" w:tplc="7908C24E">
      <w:start w:val="1"/>
      <w:numFmt w:val="decimal"/>
      <w:lvlText w:val="%1)"/>
      <w:lvlJc w:val="left"/>
      <w:pPr>
        <w:ind w:left="785" w:hanging="360"/>
      </w:pPr>
      <w:rPr>
        <w:rFonts w:hint="default"/>
      </w:rPr>
    </w:lvl>
    <w:lvl w:ilvl="1" w:tplc="240A0019" w:tentative="1">
      <w:start w:val="1"/>
      <w:numFmt w:val="lowerLetter"/>
      <w:lvlText w:val="%2."/>
      <w:lvlJc w:val="left"/>
      <w:pPr>
        <w:ind w:left="1505" w:hanging="360"/>
      </w:pPr>
    </w:lvl>
    <w:lvl w:ilvl="2" w:tplc="240A001B" w:tentative="1">
      <w:start w:val="1"/>
      <w:numFmt w:val="lowerRoman"/>
      <w:lvlText w:val="%3."/>
      <w:lvlJc w:val="right"/>
      <w:pPr>
        <w:ind w:left="2225" w:hanging="180"/>
      </w:pPr>
    </w:lvl>
    <w:lvl w:ilvl="3" w:tplc="240A000F" w:tentative="1">
      <w:start w:val="1"/>
      <w:numFmt w:val="decimal"/>
      <w:lvlText w:val="%4."/>
      <w:lvlJc w:val="left"/>
      <w:pPr>
        <w:ind w:left="2945" w:hanging="360"/>
      </w:pPr>
    </w:lvl>
    <w:lvl w:ilvl="4" w:tplc="240A0019" w:tentative="1">
      <w:start w:val="1"/>
      <w:numFmt w:val="lowerLetter"/>
      <w:lvlText w:val="%5."/>
      <w:lvlJc w:val="left"/>
      <w:pPr>
        <w:ind w:left="3665" w:hanging="360"/>
      </w:pPr>
    </w:lvl>
    <w:lvl w:ilvl="5" w:tplc="240A001B" w:tentative="1">
      <w:start w:val="1"/>
      <w:numFmt w:val="lowerRoman"/>
      <w:lvlText w:val="%6."/>
      <w:lvlJc w:val="right"/>
      <w:pPr>
        <w:ind w:left="4385" w:hanging="180"/>
      </w:pPr>
    </w:lvl>
    <w:lvl w:ilvl="6" w:tplc="240A000F" w:tentative="1">
      <w:start w:val="1"/>
      <w:numFmt w:val="decimal"/>
      <w:lvlText w:val="%7."/>
      <w:lvlJc w:val="left"/>
      <w:pPr>
        <w:ind w:left="5105" w:hanging="360"/>
      </w:pPr>
    </w:lvl>
    <w:lvl w:ilvl="7" w:tplc="240A0019" w:tentative="1">
      <w:start w:val="1"/>
      <w:numFmt w:val="lowerLetter"/>
      <w:lvlText w:val="%8."/>
      <w:lvlJc w:val="left"/>
      <w:pPr>
        <w:ind w:left="5825" w:hanging="360"/>
      </w:pPr>
    </w:lvl>
    <w:lvl w:ilvl="8" w:tplc="240A001B" w:tentative="1">
      <w:start w:val="1"/>
      <w:numFmt w:val="lowerRoman"/>
      <w:lvlText w:val="%9."/>
      <w:lvlJc w:val="right"/>
      <w:pPr>
        <w:ind w:left="6545" w:hanging="180"/>
      </w:pPr>
    </w:lvl>
  </w:abstractNum>
  <w:abstractNum w:abstractNumId="1" w15:restartNumberingAfterBreak="0">
    <w:nsid w:val="087636BA"/>
    <w:multiLevelType w:val="hybridMultilevel"/>
    <w:tmpl w:val="0B1A480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33B667A"/>
    <w:multiLevelType w:val="hybridMultilevel"/>
    <w:tmpl w:val="95AECA1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F5F4927"/>
    <w:multiLevelType w:val="hybridMultilevel"/>
    <w:tmpl w:val="2592D2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BD616E"/>
    <w:multiLevelType w:val="hybridMultilevel"/>
    <w:tmpl w:val="34A86B9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9EA2BA3"/>
    <w:multiLevelType w:val="hybridMultilevel"/>
    <w:tmpl w:val="B0E26F16"/>
    <w:lvl w:ilvl="0" w:tplc="2480CDB8">
      <w:start w:val="1"/>
      <w:numFmt w:val="decimal"/>
      <w:lvlText w:val="%1)"/>
      <w:lvlJc w:val="left"/>
      <w:pPr>
        <w:ind w:left="720" w:hanging="360"/>
      </w:pPr>
      <w:rPr>
        <w:rFonts w:ascii="Verdana" w:eastAsiaTheme="minorEastAsia" w:hAnsi="Verdana" w:cstheme="minorBid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8F381F"/>
    <w:multiLevelType w:val="hybridMultilevel"/>
    <w:tmpl w:val="4112CC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8205023"/>
    <w:multiLevelType w:val="hybridMultilevel"/>
    <w:tmpl w:val="F042C28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D634CAD"/>
    <w:multiLevelType w:val="hybridMultilevel"/>
    <w:tmpl w:val="F528BA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00E2595"/>
    <w:multiLevelType w:val="hybridMultilevel"/>
    <w:tmpl w:val="091CF8AE"/>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43E5393"/>
    <w:multiLevelType w:val="hybridMultilevel"/>
    <w:tmpl w:val="47B450AC"/>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58609D0"/>
    <w:multiLevelType w:val="hybridMultilevel"/>
    <w:tmpl w:val="BF62CA10"/>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2E92446"/>
    <w:multiLevelType w:val="hybridMultilevel"/>
    <w:tmpl w:val="72047ECA"/>
    <w:lvl w:ilvl="0" w:tplc="240A000B">
      <w:start w:val="1"/>
      <w:numFmt w:val="bullet"/>
      <w:lvlText w:val=""/>
      <w:lvlJc w:val="left"/>
      <w:pPr>
        <w:ind w:left="795" w:hanging="360"/>
      </w:pPr>
      <w:rPr>
        <w:rFonts w:ascii="Wingdings" w:hAnsi="Wingdings"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13" w15:restartNumberingAfterBreak="0">
    <w:nsid w:val="773A4BAE"/>
    <w:multiLevelType w:val="hybridMultilevel"/>
    <w:tmpl w:val="CFD2329C"/>
    <w:lvl w:ilvl="0" w:tplc="2F5EB226">
      <w:start w:val="1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B46002B"/>
    <w:multiLevelType w:val="hybridMultilevel"/>
    <w:tmpl w:val="518E12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3"/>
  </w:num>
  <w:num w:numId="3">
    <w:abstractNumId w:val="7"/>
  </w:num>
  <w:num w:numId="4">
    <w:abstractNumId w:val="9"/>
  </w:num>
  <w:num w:numId="5">
    <w:abstractNumId w:val="10"/>
  </w:num>
  <w:num w:numId="6">
    <w:abstractNumId w:val="0"/>
  </w:num>
  <w:num w:numId="7">
    <w:abstractNumId w:val="5"/>
  </w:num>
  <w:num w:numId="8">
    <w:abstractNumId w:val="1"/>
  </w:num>
  <w:num w:numId="9">
    <w:abstractNumId w:val="6"/>
  </w:num>
  <w:num w:numId="10">
    <w:abstractNumId w:val="4"/>
  </w:num>
  <w:num w:numId="11">
    <w:abstractNumId w:val="8"/>
  </w:num>
  <w:num w:numId="12">
    <w:abstractNumId w:val="14"/>
  </w:num>
  <w:num w:numId="13">
    <w:abstractNumId w:val="13"/>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D2"/>
    <w:rsid w:val="00001159"/>
    <w:rsid w:val="0000129B"/>
    <w:rsid w:val="0000150E"/>
    <w:rsid w:val="00002183"/>
    <w:rsid w:val="00002DBF"/>
    <w:rsid w:val="00007621"/>
    <w:rsid w:val="00007EA0"/>
    <w:rsid w:val="000101B6"/>
    <w:rsid w:val="00012B2E"/>
    <w:rsid w:val="000141D8"/>
    <w:rsid w:val="000145BA"/>
    <w:rsid w:val="000239CD"/>
    <w:rsid w:val="000245A9"/>
    <w:rsid w:val="00024E82"/>
    <w:rsid w:val="000258B2"/>
    <w:rsid w:val="00025E66"/>
    <w:rsid w:val="000265A6"/>
    <w:rsid w:val="0003104B"/>
    <w:rsid w:val="000322FF"/>
    <w:rsid w:val="0003267E"/>
    <w:rsid w:val="000327FA"/>
    <w:rsid w:val="00033284"/>
    <w:rsid w:val="0003383D"/>
    <w:rsid w:val="000345DF"/>
    <w:rsid w:val="00034819"/>
    <w:rsid w:val="000355ED"/>
    <w:rsid w:val="000363B7"/>
    <w:rsid w:val="0003676F"/>
    <w:rsid w:val="00037145"/>
    <w:rsid w:val="000419AD"/>
    <w:rsid w:val="00041BCF"/>
    <w:rsid w:val="00044C82"/>
    <w:rsid w:val="000455A0"/>
    <w:rsid w:val="00045732"/>
    <w:rsid w:val="00047B73"/>
    <w:rsid w:val="000504AF"/>
    <w:rsid w:val="00052079"/>
    <w:rsid w:val="00052EE3"/>
    <w:rsid w:val="0005426F"/>
    <w:rsid w:val="00054696"/>
    <w:rsid w:val="00060DA8"/>
    <w:rsid w:val="00062CAB"/>
    <w:rsid w:val="00063D0F"/>
    <w:rsid w:val="000669AC"/>
    <w:rsid w:val="00066FF6"/>
    <w:rsid w:val="000670E3"/>
    <w:rsid w:val="00070B9F"/>
    <w:rsid w:val="00072D5B"/>
    <w:rsid w:val="00074646"/>
    <w:rsid w:val="000756F0"/>
    <w:rsid w:val="00076094"/>
    <w:rsid w:val="00076138"/>
    <w:rsid w:val="0008212A"/>
    <w:rsid w:val="00083246"/>
    <w:rsid w:val="000842C8"/>
    <w:rsid w:val="00084B60"/>
    <w:rsid w:val="0008702D"/>
    <w:rsid w:val="00087216"/>
    <w:rsid w:val="00087EB8"/>
    <w:rsid w:val="00090729"/>
    <w:rsid w:val="00091CF9"/>
    <w:rsid w:val="000944BB"/>
    <w:rsid w:val="00097F47"/>
    <w:rsid w:val="000A0999"/>
    <w:rsid w:val="000A103A"/>
    <w:rsid w:val="000A338A"/>
    <w:rsid w:val="000A3642"/>
    <w:rsid w:val="000A3E20"/>
    <w:rsid w:val="000A58D8"/>
    <w:rsid w:val="000A6AED"/>
    <w:rsid w:val="000A7186"/>
    <w:rsid w:val="000B10ED"/>
    <w:rsid w:val="000B4931"/>
    <w:rsid w:val="000B4CFF"/>
    <w:rsid w:val="000B678D"/>
    <w:rsid w:val="000B688F"/>
    <w:rsid w:val="000C0F06"/>
    <w:rsid w:val="000C1F69"/>
    <w:rsid w:val="000C2BE0"/>
    <w:rsid w:val="000C5C51"/>
    <w:rsid w:val="000C69C6"/>
    <w:rsid w:val="000C745E"/>
    <w:rsid w:val="000C76ED"/>
    <w:rsid w:val="000D0CCE"/>
    <w:rsid w:val="000D25B0"/>
    <w:rsid w:val="000D3334"/>
    <w:rsid w:val="000D3FEB"/>
    <w:rsid w:val="000D42D2"/>
    <w:rsid w:val="000D46E1"/>
    <w:rsid w:val="000D64BD"/>
    <w:rsid w:val="000D7985"/>
    <w:rsid w:val="000E0C0F"/>
    <w:rsid w:val="000E3954"/>
    <w:rsid w:val="000E4495"/>
    <w:rsid w:val="000E4B37"/>
    <w:rsid w:val="000E582D"/>
    <w:rsid w:val="000E691B"/>
    <w:rsid w:val="000E72B5"/>
    <w:rsid w:val="000E7A76"/>
    <w:rsid w:val="000F00F2"/>
    <w:rsid w:val="000F097E"/>
    <w:rsid w:val="000F1D72"/>
    <w:rsid w:val="000F2DF5"/>
    <w:rsid w:val="000F43E9"/>
    <w:rsid w:val="000F50CE"/>
    <w:rsid w:val="000F5F4F"/>
    <w:rsid w:val="000F74E7"/>
    <w:rsid w:val="00100B8A"/>
    <w:rsid w:val="00100BDB"/>
    <w:rsid w:val="001012B9"/>
    <w:rsid w:val="00101571"/>
    <w:rsid w:val="00103AEF"/>
    <w:rsid w:val="00103CD2"/>
    <w:rsid w:val="00104122"/>
    <w:rsid w:val="00104B75"/>
    <w:rsid w:val="0010548D"/>
    <w:rsid w:val="00106029"/>
    <w:rsid w:val="0010700D"/>
    <w:rsid w:val="00110126"/>
    <w:rsid w:val="0011015F"/>
    <w:rsid w:val="001117A6"/>
    <w:rsid w:val="00112015"/>
    <w:rsid w:val="00112321"/>
    <w:rsid w:val="00113F88"/>
    <w:rsid w:val="0011463B"/>
    <w:rsid w:val="00114D1B"/>
    <w:rsid w:val="00115EBC"/>
    <w:rsid w:val="001160A3"/>
    <w:rsid w:val="00116FC5"/>
    <w:rsid w:val="0012070D"/>
    <w:rsid w:val="001208B7"/>
    <w:rsid w:val="001217CD"/>
    <w:rsid w:val="00121948"/>
    <w:rsid w:val="00123A1A"/>
    <w:rsid w:val="00123DEA"/>
    <w:rsid w:val="001243F5"/>
    <w:rsid w:val="00124C7F"/>
    <w:rsid w:val="001251B0"/>
    <w:rsid w:val="00126649"/>
    <w:rsid w:val="00126B25"/>
    <w:rsid w:val="00126F41"/>
    <w:rsid w:val="00127466"/>
    <w:rsid w:val="00130EF2"/>
    <w:rsid w:val="00132F60"/>
    <w:rsid w:val="00134DAE"/>
    <w:rsid w:val="001358DD"/>
    <w:rsid w:val="001401CF"/>
    <w:rsid w:val="00143276"/>
    <w:rsid w:val="00144029"/>
    <w:rsid w:val="00144144"/>
    <w:rsid w:val="00144592"/>
    <w:rsid w:val="001447A3"/>
    <w:rsid w:val="00145653"/>
    <w:rsid w:val="00146065"/>
    <w:rsid w:val="00146E14"/>
    <w:rsid w:val="00147638"/>
    <w:rsid w:val="00154350"/>
    <w:rsid w:val="00154641"/>
    <w:rsid w:val="001547D4"/>
    <w:rsid w:val="00155E80"/>
    <w:rsid w:val="00156DED"/>
    <w:rsid w:val="0015718A"/>
    <w:rsid w:val="001574A9"/>
    <w:rsid w:val="00157F71"/>
    <w:rsid w:val="00160E5D"/>
    <w:rsid w:val="001620CE"/>
    <w:rsid w:val="001635AC"/>
    <w:rsid w:val="001644BB"/>
    <w:rsid w:val="001645D6"/>
    <w:rsid w:val="0016603E"/>
    <w:rsid w:val="00166AED"/>
    <w:rsid w:val="00172997"/>
    <w:rsid w:val="00172CB9"/>
    <w:rsid w:val="00173336"/>
    <w:rsid w:val="001738E7"/>
    <w:rsid w:val="00176925"/>
    <w:rsid w:val="00177162"/>
    <w:rsid w:val="0018112F"/>
    <w:rsid w:val="00182BFD"/>
    <w:rsid w:val="0018536E"/>
    <w:rsid w:val="00191050"/>
    <w:rsid w:val="00192EC0"/>
    <w:rsid w:val="00193027"/>
    <w:rsid w:val="00195CB4"/>
    <w:rsid w:val="001968AE"/>
    <w:rsid w:val="00196AAC"/>
    <w:rsid w:val="00196D9B"/>
    <w:rsid w:val="001974EF"/>
    <w:rsid w:val="001A11F3"/>
    <w:rsid w:val="001A2C44"/>
    <w:rsid w:val="001A3E44"/>
    <w:rsid w:val="001A40CB"/>
    <w:rsid w:val="001A449D"/>
    <w:rsid w:val="001A58BC"/>
    <w:rsid w:val="001A5CE3"/>
    <w:rsid w:val="001A7803"/>
    <w:rsid w:val="001A7A79"/>
    <w:rsid w:val="001A7FF3"/>
    <w:rsid w:val="001B015C"/>
    <w:rsid w:val="001B14AF"/>
    <w:rsid w:val="001B1F16"/>
    <w:rsid w:val="001B2B2B"/>
    <w:rsid w:val="001B2BED"/>
    <w:rsid w:val="001B4690"/>
    <w:rsid w:val="001B64CC"/>
    <w:rsid w:val="001B6727"/>
    <w:rsid w:val="001B6A0D"/>
    <w:rsid w:val="001B7049"/>
    <w:rsid w:val="001B741B"/>
    <w:rsid w:val="001C0118"/>
    <w:rsid w:val="001C0F84"/>
    <w:rsid w:val="001C1F0E"/>
    <w:rsid w:val="001C2367"/>
    <w:rsid w:val="001C3F9F"/>
    <w:rsid w:val="001C53A2"/>
    <w:rsid w:val="001C6929"/>
    <w:rsid w:val="001C725E"/>
    <w:rsid w:val="001D11D2"/>
    <w:rsid w:val="001D1D07"/>
    <w:rsid w:val="001D1F74"/>
    <w:rsid w:val="001D4874"/>
    <w:rsid w:val="001D4EEF"/>
    <w:rsid w:val="001D5307"/>
    <w:rsid w:val="001D6B2C"/>
    <w:rsid w:val="001D7680"/>
    <w:rsid w:val="001E0801"/>
    <w:rsid w:val="001E0B18"/>
    <w:rsid w:val="001E22C0"/>
    <w:rsid w:val="001E2EA5"/>
    <w:rsid w:val="001E4610"/>
    <w:rsid w:val="001E5A6C"/>
    <w:rsid w:val="001E6568"/>
    <w:rsid w:val="001E6F30"/>
    <w:rsid w:val="001E7DFA"/>
    <w:rsid w:val="001F41E7"/>
    <w:rsid w:val="001F5002"/>
    <w:rsid w:val="001F517D"/>
    <w:rsid w:val="001F5213"/>
    <w:rsid w:val="001F6498"/>
    <w:rsid w:val="001F6745"/>
    <w:rsid w:val="002009D2"/>
    <w:rsid w:val="00203FD4"/>
    <w:rsid w:val="00204119"/>
    <w:rsid w:val="00204C8E"/>
    <w:rsid w:val="00205330"/>
    <w:rsid w:val="00205C13"/>
    <w:rsid w:val="00205D21"/>
    <w:rsid w:val="00206E99"/>
    <w:rsid w:val="00210E47"/>
    <w:rsid w:val="00211CC2"/>
    <w:rsid w:val="00211E13"/>
    <w:rsid w:val="00212C54"/>
    <w:rsid w:val="00212D93"/>
    <w:rsid w:val="00213397"/>
    <w:rsid w:val="00213C4B"/>
    <w:rsid w:val="00213FF2"/>
    <w:rsid w:val="00216932"/>
    <w:rsid w:val="0022076C"/>
    <w:rsid w:val="00220BAC"/>
    <w:rsid w:val="0022342E"/>
    <w:rsid w:val="00224892"/>
    <w:rsid w:val="0023060C"/>
    <w:rsid w:val="00232161"/>
    <w:rsid w:val="00232C17"/>
    <w:rsid w:val="00234513"/>
    <w:rsid w:val="00234E57"/>
    <w:rsid w:val="002354E5"/>
    <w:rsid w:val="002360E0"/>
    <w:rsid w:val="00237829"/>
    <w:rsid w:val="00237E79"/>
    <w:rsid w:val="002400AA"/>
    <w:rsid w:val="0024186C"/>
    <w:rsid w:val="00241F24"/>
    <w:rsid w:val="00243D5E"/>
    <w:rsid w:val="00244E97"/>
    <w:rsid w:val="002457D5"/>
    <w:rsid w:val="00245D35"/>
    <w:rsid w:val="00246011"/>
    <w:rsid w:val="00247819"/>
    <w:rsid w:val="0025037B"/>
    <w:rsid w:val="00250DE8"/>
    <w:rsid w:val="00251B86"/>
    <w:rsid w:val="00251F73"/>
    <w:rsid w:val="00252ABC"/>
    <w:rsid w:val="00253AFA"/>
    <w:rsid w:val="00254694"/>
    <w:rsid w:val="00255E96"/>
    <w:rsid w:val="00255F59"/>
    <w:rsid w:val="00255FB4"/>
    <w:rsid w:val="002571E7"/>
    <w:rsid w:val="0026092F"/>
    <w:rsid w:val="00264608"/>
    <w:rsid w:val="00265A04"/>
    <w:rsid w:val="00265D9B"/>
    <w:rsid w:val="00273008"/>
    <w:rsid w:val="002747A5"/>
    <w:rsid w:val="00274952"/>
    <w:rsid w:val="00274D3C"/>
    <w:rsid w:val="00274FB5"/>
    <w:rsid w:val="002758E6"/>
    <w:rsid w:val="002762E5"/>
    <w:rsid w:val="002772EE"/>
    <w:rsid w:val="00277378"/>
    <w:rsid w:val="002837B2"/>
    <w:rsid w:val="00283B0B"/>
    <w:rsid w:val="00284182"/>
    <w:rsid w:val="00284395"/>
    <w:rsid w:val="00286DF3"/>
    <w:rsid w:val="002876A6"/>
    <w:rsid w:val="00291F1C"/>
    <w:rsid w:val="002926C1"/>
    <w:rsid w:val="00292784"/>
    <w:rsid w:val="00293476"/>
    <w:rsid w:val="00296429"/>
    <w:rsid w:val="00296A70"/>
    <w:rsid w:val="002A0D37"/>
    <w:rsid w:val="002A1602"/>
    <w:rsid w:val="002A6251"/>
    <w:rsid w:val="002A6F64"/>
    <w:rsid w:val="002A7337"/>
    <w:rsid w:val="002B1243"/>
    <w:rsid w:val="002B1293"/>
    <w:rsid w:val="002B13F8"/>
    <w:rsid w:val="002B1F8C"/>
    <w:rsid w:val="002B2795"/>
    <w:rsid w:val="002B3F03"/>
    <w:rsid w:val="002B435B"/>
    <w:rsid w:val="002B4E41"/>
    <w:rsid w:val="002B54D7"/>
    <w:rsid w:val="002B6279"/>
    <w:rsid w:val="002B6891"/>
    <w:rsid w:val="002B7882"/>
    <w:rsid w:val="002B7AF6"/>
    <w:rsid w:val="002B7C0A"/>
    <w:rsid w:val="002C4438"/>
    <w:rsid w:val="002C454E"/>
    <w:rsid w:val="002C483A"/>
    <w:rsid w:val="002C5256"/>
    <w:rsid w:val="002C53DD"/>
    <w:rsid w:val="002C60A3"/>
    <w:rsid w:val="002C63AF"/>
    <w:rsid w:val="002D03FC"/>
    <w:rsid w:val="002D07F0"/>
    <w:rsid w:val="002D11E8"/>
    <w:rsid w:val="002D1CA4"/>
    <w:rsid w:val="002D289A"/>
    <w:rsid w:val="002D4564"/>
    <w:rsid w:val="002D4C07"/>
    <w:rsid w:val="002D5316"/>
    <w:rsid w:val="002D5AE0"/>
    <w:rsid w:val="002D6765"/>
    <w:rsid w:val="002D6DF6"/>
    <w:rsid w:val="002D719A"/>
    <w:rsid w:val="002E037F"/>
    <w:rsid w:val="002E19CE"/>
    <w:rsid w:val="002E3D99"/>
    <w:rsid w:val="002E614D"/>
    <w:rsid w:val="002E6950"/>
    <w:rsid w:val="002F06C2"/>
    <w:rsid w:val="002F0BD3"/>
    <w:rsid w:val="002F0DF6"/>
    <w:rsid w:val="002F14C2"/>
    <w:rsid w:val="002F2295"/>
    <w:rsid w:val="002F433E"/>
    <w:rsid w:val="002F4FDB"/>
    <w:rsid w:val="002F531E"/>
    <w:rsid w:val="002F6AA6"/>
    <w:rsid w:val="00302CBA"/>
    <w:rsid w:val="0030355A"/>
    <w:rsid w:val="003040EE"/>
    <w:rsid w:val="00307220"/>
    <w:rsid w:val="003074AA"/>
    <w:rsid w:val="00313B5F"/>
    <w:rsid w:val="00315431"/>
    <w:rsid w:val="00315643"/>
    <w:rsid w:val="00316E86"/>
    <w:rsid w:val="00323CD9"/>
    <w:rsid w:val="00324055"/>
    <w:rsid w:val="00324FBA"/>
    <w:rsid w:val="00326A4A"/>
    <w:rsid w:val="00326EAA"/>
    <w:rsid w:val="00326F9E"/>
    <w:rsid w:val="00330D08"/>
    <w:rsid w:val="00331583"/>
    <w:rsid w:val="0033305E"/>
    <w:rsid w:val="00333A74"/>
    <w:rsid w:val="00333AF5"/>
    <w:rsid w:val="00334403"/>
    <w:rsid w:val="003357D2"/>
    <w:rsid w:val="0033771B"/>
    <w:rsid w:val="00341497"/>
    <w:rsid w:val="00342BC9"/>
    <w:rsid w:val="00344DCE"/>
    <w:rsid w:val="00345EE2"/>
    <w:rsid w:val="00347499"/>
    <w:rsid w:val="0034775A"/>
    <w:rsid w:val="00350149"/>
    <w:rsid w:val="00350551"/>
    <w:rsid w:val="0035111A"/>
    <w:rsid w:val="00351749"/>
    <w:rsid w:val="00353B9A"/>
    <w:rsid w:val="00355DFC"/>
    <w:rsid w:val="00360394"/>
    <w:rsid w:val="00360771"/>
    <w:rsid w:val="00360D05"/>
    <w:rsid w:val="00363008"/>
    <w:rsid w:val="003656E7"/>
    <w:rsid w:val="00365E78"/>
    <w:rsid w:val="0036641A"/>
    <w:rsid w:val="0036793A"/>
    <w:rsid w:val="00367CE7"/>
    <w:rsid w:val="0037032C"/>
    <w:rsid w:val="00370C16"/>
    <w:rsid w:val="003725D8"/>
    <w:rsid w:val="00374439"/>
    <w:rsid w:val="003754DB"/>
    <w:rsid w:val="0037712E"/>
    <w:rsid w:val="003774D6"/>
    <w:rsid w:val="003775DA"/>
    <w:rsid w:val="00377A56"/>
    <w:rsid w:val="00382221"/>
    <w:rsid w:val="00382611"/>
    <w:rsid w:val="003827F0"/>
    <w:rsid w:val="00382C70"/>
    <w:rsid w:val="00383069"/>
    <w:rsid w:val="00383503"/>
    <w:rsid w:val="00384BA9"/>
    <w:rsid w:val="003879A1"/>
    <w:rsid w:val="00391F15"/>
    <w:rsid w:val="00392FD5"/>
    <w:rsid w:val="00395614"/>
    <w:rsid w:val="0039662D"/>
    <w:rsid w:val="003966EE"/>
    <w:rsid w:val="00396EB5"/>
    <w:rsid w:val="00396EBF"/>
    <w:rsid w:val="00396EFB"/>
    <w:rsid w:val="00397300"/>
    <w:rsid w:val="00397826"/>
    <w:rsid w:val="003A0145"/>
    <w:rsid w:val="003A09C5"/>
    <w:rsid w:val="003A11C2"/>
    <w:rsid w:val="003A31FA"/>
    <w:rsid w:val="003A32AB"/>
    <w:rsid w:val="003A3C1F"/>
    <w:rsid w:val="003A4A1F"/>
    <w:rsid w:val="003A4DBC"/>
    <w:rsid w:val="003A5684"/>
    <w:rsid w:val="003A583D"/>
    <w:rsid w:val="003A5F8C"/>
    <w:rsid w:val="003A6AFB"/>
    <w:rsid w:val="003A742D"/>
    <w:rsid w:val="003B1977"/>
    <w:rsid w:val="003B19A9"/>
    <w:rsid w:val="003B3BB4"/>
    <w:rsid w:val="003B44FE"/>
    <w:rsid w:val="003B4994"/>
    <w:rsid w:val="003B61E7"/>
    <w:rsid w:val="003B73DB"/>
    <w:rsid w:val="003C06E0"/>
    <w:rsid w:val="003C0FF4"/>
    <w:rsid w:val="003C118D"/>
    <w:rsid w:val="003C22F5"/>
    <w:rsid w:val="003C330C"/>
    <w:rsid w:val="003C396A"/>
    <w:rsid w:val="003C4D32"/>
    <w:rsid w:val="003C51CF"/>
    <w:rsid w:val="003C58A7"/>
    <w:rsid w:val="003C5BB3"/>
    <w:rsid w:val="003C677D"/>
    <w:rsid w:val="003C76D4"/>
    <w:rsid w:val="003C7ECA"/>
    <w:rsid w:val="003C7F29"/>
    <w:rsid w:val="003D267A"/>
    <w:rsid w:val="003D28B1"/>
    <w:rsid w:val="003D528E"/>
    <w:rsid w:val="003D52A5"/>
    <w:rsid w:val="003D6889"/>
    <w:rsid w:val="003D6FA7"/>
    <w:rsid w:val="003D76DD"/>
    <w:rsid w:val="003D7739"/>
    <w:rsid w:val="003D7C1A"/>
    <w:rsid w:val="003E01B6"/>
    <w:rsid w:val="003E10C8"/>
    <w:rsid w:val="003E138E"/>
    <w:rsid w:val="003E17AF"/>
    <w:rsid w:val="003E351F"/>
    <w:rsid w:val="003E42EA"/>
    <w:rsid w:val="003F06C2"/>
    <w:rsid w:val="003F0AD5"/>
    <w:rsid w:val="003F0FA3"/>
    <w:rsid w:val="003F2322"/>
    <w:rsid w:val="003F246B"/>
    <w:rsid w:val="003F27E7"/>
    <w:rsid w:val="003F347F"/>
    <w:rsid w:val="003F607B"/>
    <w:rsid w:val="0040121F"/>
    <w:rsid w:val="00404E97"/>
    <w:rsid w:val="00405E6C"/>
    <w:rsid w:val="00407FD2"/>
    <w:rsid w:val="00411873"/>
    <w:rsid w:val="00413E0C"/>
    <w:rsid w:val="00415A61"/>
    <w:rsid w:val="004162C2"/>
    <w:rsid w:val="004162E9"/>
    <w:rsid w:val="004166EF"/>
    <w:rsid w:val="004172CF"/>
    <w:rsid w:val="0042533F"/>
    <w:rsid w:val="00425BBC"/>
    <w:rsid w:val="00426224"/>
    <w:rsid w:val="00426BF5"/>
    <w:rsid w:val="00426D3A"/>
    <w:rsid w:val="00427DC2"/>
    <w:rsid w:val="00427DCD"/>
    <w:rsid w:val="004339F0"/>
    <w:rsid w:val="004346C7"/>
    <w:rsid w:val="00434987"/>
    <w:rsid w:val="00434D94"/>
    <w:rsid w:val="00437F14"/>
    <w:rsid w:val="00441C38"/>
    <w:rsid w:val="00443E32"/>
    <w:rsid w:val="004440F8"/>
    <w:rsid w:val="004442B1"/>
    <w:rsid w:val="0044552A"/>
    <w:rsid w:val="00445E9A"/>
    <w:rsid w:val="00450097"/>
    <w:rsid w:val="004506C0"/>
    <w:rsid w:val="00450773"/>
    <w:rsid w:val="004509FE"/>
    <w:rsid w:val="0045189C"/>
    <w:rsid w:val="00451D8B"/>
    <w:rsid w:val="00453ED1"/>
    <w:rsid w:val="00454E3D"/>
    <w:rsid w:val="00455F72"/>
    <w:rsid w:val="00456CE5"/>
    <w:rsid w:val="00460C08"/>
    <w:rsid w:val="004624AB"/>
    <w:rsid w:val="0046420F"/>
    <w:rsid w:val="00464CE7"/>
    <w:rsid w:val="004672AF"/>
    <w:rsid w:val="00470875"/>
    <w:rsid w:val="00474FBD"/>
    <w:rsid w:val="004757DE"/>
    <w:rsid w:val="00475859"/>
    <w:rsid w:val="00476DFF"/>
    <w:rsid w:val="004775B7"/>
    <w:rsid w:val="004779AA"/>
    <w:rsid w:val="00480F2E"/>
    <w:rsid w:val="00481B46"/>
    <w:rsid w:val="00482E4C"/>
    <w:rsid w:val="00483329"/>
    <w:rsid w:val="00483E61"/>
    <w:rsid w:val="00485CA6"/>
    <w:rsid w:val="00490246"/>
    <w:rsid w:val="00490925"/>
    <w:rsid w:val="00491107"/>
    <w:rsid w:val="00491D45"/>
    <w:rsid w:val="00493ADA"/>
    <w:rsid w:val="004946BE"/>
    <w:rsid w:val="00494F72"/>
    <w:rsid w:val="004952EB"/>
    <w:rsid w:val="00496035"/>
    <w:rsid w:val="0049603A"/>
    <w:rsid w:val="00496162"/>
    <w:rsid w:val="004969E0"/>
    <w:rsid w:val="004A125D"/>
    <w:rsid w:val="004A21C2"/>
    <w:rsid w:val="004A25FD"/>
    <w:rsid w:val="004A32FE"/>
    <w:rsid w:val="004A6809"/>
    <w:rsid w:val="004A6F38"/>
    <w:rsid w:val="004A74F0"/>
    <w:rsid w:val="004B047D"/>
    <w:rsid w:val="004B0727"/>
    <w:rsid w:val="004B5269"/>
    <w:rsid w:val="004C100A"/>
    <w:rsid w:val="004C471E"/>
    <w:rsid w:val="004C5B4B"/>
    <w:rsid w:val="004C6454"/>
    <w:rsid w:val="004D0FC7"/>
    <w:rsid w:val="004D29CE"/>
    <w:rsid w:val="004D29D4"/>
    <w:rsid w:val="004D4921"/>
    <w:rsid w:val="004D51DB"/>
    <w:rsid w:val="004D5329"/>
    <w:rsid w:val="004D5344"/>
    <w:rsid w:val="004D5B1A"/>
    <w:rsid w:val="004D5CF6"/>
    <w:rsid w:val="004D71C5"/>
    <w:rsid w:val="004D756C"/>
    <w:rsid w:val="004E301F"/>
    <w:rsid w:val="004E390C"/>
    <w:rsid w:val="004E4201"/>
    <w:rsid w:val="004E4823"/>
    <w:rsid w:val="004E52EC"/>
    <w:rsid w:val="004E597B"/>
    <w:rsid w:val="004E5B75"/>
    <w:rsid w:val="004E6A4F"/>
    <w:rsid w:val="004F169C"/>
    <w:rsid w:val="004F2FC9"/>
    <w:rsid w:val="004F429D"/>
    <w:rsid w:val="004F63CD"/>
    <w:rsid w:val="004F6CA7"/>
    <w:rsid w:val="004F7677"/>
    <w:rsid w:val="004F7D1E"/>
    <w:rsid w:val="00500377"/>
    <w:rsid w:val="005021C4"/>
    <w:rsid w:val="005035AC"/>
    <w:rsid w:val="00503875"/>
    <w:rsid w:val="00503B17"/>
    <w:rsid w:val="0050461D"/>
    <w:rsid w:val="00506081"/>
    <w:rsid w:val="00506639"/>
    <w:rsid w:val="00507076"/>
    <w:rsid w:val="005109A6"/>
    <w:rsid w:val="005110AE"/>
    <w:rsid w:val="00511E8C"/>
    <w:rsid w:val="00512D3D"/>
    <w:rsid w:val="005130AA"/>
    <w:rsid w:val="005137E7"/>
    <w:rsid w:val="00514817"/>
    <w:rsid w:val="00514C9B"/>
    <w:rsid w:val="00514D4B"/>
    <w:rsid w:val="0051568B"/>
    <w:rsid w:val="00516FBD"/>
    <w:rsid w:val="005179D3"/>
    <w:rsid w:val="00517A91"/>
    <w:rsid w:val="00517EEF"/>
    <w:rsid w:val="00520853"/>
    <w:rsid w:val="00520F26"/>
    <w:rsid w:val="00521F6F"/>
    <w:rsid w:val="00522114"/>
    <w:rsid w:val="00522588"/>
    <w:rsid w:val="005238A0"/>
    <w:rsid w:val="0052400E"/>
    <w:rsid w:val="00524876"/>
    <w:rsid w:val="00524F43"/>
    <w:rsid w:val="00525787"/>
    <w:rsid w:val="005274AA"/>
    <w:rsid w:val="00527BBB"/>
    <w:rsid w:val="00527C49"/>
    <w:rsid w:val="0053002F"/>
    <w:rsid w:val="00532689"/>
    <w:rsid w:val="00532ACA"/>
    <w:rsid w:val="005341C8"/>
    <w:rsid w:val="00536711"/>
    <w:rsid w:val="00536A3B"/>
    <w:rsid w:val="00537FD8"/>
    <w:rsid w:val="00541CCA"/>
    <w:rsid w:val="00541CE0"/>
    <w:rsid w:val="005439DF"/>
    <w:rsid w:val="00543E04"/>
    <w:rsid w:val="00545594"/>
    <w:rsid w:val="00546DD0"/>
    <w:rsid w:val="00551A00"/>
    <w:rsid w:val="00552C27"/>
    <w:rsid w:val="005536DB"/>
    <w:rsid w:val="00554D2D"/>
    <w:rsid w:val="00554E60"/>
    <w:rsid w:val="005572D7"/>
    <w:rsid w:val="00557A65"/>
    <w:rsid w:val="00557C55"/>
    <w:rsid w:val="00560B40"/>
    <w:rsid w:val="00561786"/>
    <w:rsid w:val="005629C1"/>
    <w:rsid w:val="00562D9F"/>
    <w:rsid w:val="00563092"/>
    <w:rsid w:val="00563108"/>
    <w:rsid w:val="00567A1B"/>
    <w:rsid w:val="0057344D"/>
    <w:rsid w:val="005745D3"/>
    <w:rsid w:val="005756B9"/>
    <w:rsid w:val="005778FA"/>
    <w:rsid w:val="00580D94"/>
    <w:rsid w:val="00582BF7"/>
    <w:rsid w:val="00583DE8"/>
    <w:rsid w:val="00586E06"/>
    <w:rsid w:val="00587024"/>
    <w:rsid w:val="00590D81"/>
    <w:rsid w:val="00591FA8"/>
    <w:rsid w:val="00593ABA"/>
    <w:rsid w:val="005941CA"/>
    <w:rsid w:val="00596ADE"/>
    <w:rsid w:val="00597680"/>
    <w:rsid w:val="005A10B1"/>
    <w:rsid w:val="005A7311"/>
    <w:rsid w:val="005A7EFE"/>
    <w:rsid w:val="005B335D"/>
    <w:rsid w:val="005B40EB"/>
    <w:rsid w:val="005B4AD3"/>
    <w:rsid w:val="005B6BF7"/>
    <w:rsid w:val="005B73E2"/>
    <w:rsid w:val="005C3277"/>
    <w:rsid w:val="005C537F"/>
    <w:rsid w:val="005C53B3"/>
    <w:rsid w:val="005C6968"/>
    <w:rsid w:val="005C79D7"/>
    <w:rsid w:val="005C7AFC"/>
    <w:rsid w:val="005D0418"/>
    <w:rsid w:val="005D13E1"/>
    <w:rsid w:val="005D1D45"/>
    <w:rsid w:val="005D25DE"/>
    <w:rsid w:val="005D31F7"/>
    <w:rsid w:val="005D48DA"/>
    <w:rsid w:val="005D5204"/>
    <w:rsid w:val="005D5AF0"/>
    <w:rsid w:val="005D5D91"/>
    <w:rsid w:val="005E19B2"/>
    <w:rsid w:val="005E3093"/>
    <w:rsid w:val="005E3DCF"/>
    <w:rsid w:val="005E44A1"/>
    <w:rsid w:val="005E47F8"/>
    <w:rsid w:val="005E5147"/>
    <w:rsid w:val="005E5D27"/>
    <w:rsid w:val="005F111F"/>
    <w:rsid w:val="005F2329"/>
    <w:rsid w:val="005F2676"/>
    <w:rsid w:val="005F2E51"/>
    <w:rsid w:val="005F33AD"/>
    <w:rsid w:val="005F4792"/>
    <w:rsid w:val="005F4974"/>
    <w:rsid w:val="005F4A60"/>
    <w:rsid w:val="005F7145"/>
    <w:rsid w:val="005F7AFE"/>
    <w:rsid w:val="00602145"/>
    <w:rsid w:val="00602376"/>
    <w:rsid w:val="0060351C"/>
    <w:rsid w:val="006056D1"/>
    <w:rsid w:val="00606BC1"/>
    <w:rsid w:val="00606CC0"/>
    <w:rsid w:val="00607F41"/>
    <w:rsid w:val="00610F4C"/>
    <w:rsid w:val="00613D78"/>
    <w:rsid w:val="00614AB4"/>
    <w:rsid w:val="0061622B"/>
    <w:rsid w:val="00616429"/>
    <w:rsid w:val="00617B02"/>
    <w:rsid w:val="006202C0"/>
    <w:rsid w:val="006205BE"/>
    <w:rsid w:val="00620ACB"/>
    <w:rsid w:val="00620F4E"/>
    <w:rsid w:val="00621148"/>
    <w:rsid w:val="00621155"/>
    <w:rsid w:val="00621DAA"/>
    <w:rsid w:val="0062575E"/>
    <w:rsid w:val="00625E0A"/>
    <w:rsid w:val="0062605D"/>
    <w:rsid w:val="00626B58"/>
    <w:rsid w:val="00630359"/>
    <w:rsid w:val="00630F13"/>
    <w:rsid w:val="00631D9F"/>
    <w:rsid w:val="00631DB5"/>
    <w:rsid w:val="00631E38"/>
    <w:rsid w:val="00632BEA"/>
    <w:rsid w:val="00632EB4"/>
    <w:rsid w:val="00633E66"/>
    <w:rsid w:val="0063415E"/>
    <w:rsid w:val="00634DFF"/>
    <w:rsid w:val="006404F3"/>
    <w:rsid w:val="006405B6"/>
    <w:rsid w:val="00640E25"/>
    <w:rsid w:val="00641F37"/>
    <w:rsid w:val="00642AF1"/>
    <w:rsid w:val="00643AEE"/>
    <w:rsid w:val="00643D4C"/>
    <w:rsid w:val="006443FF"/>
    <w:rsid w:val="00646E73"/>
    <w:rsid w:val="00650479"/>
    <w:rsid w:val="006506F8"/>
    <w:rsid w:val="00650F5B"/>
    <w:rsid w:val="006519A2"/>
    <w:rsid w:val="00652BE5"/>
    <w:rsid w:val="006533FC"/>
    <w:rsid w:val="00655D12"/>
    <w:rsid w:val="00656887"/>
    <w:rsid w:val="006569CD"/>
    <w:rsid w:val="00657D6F"/>
    <w:rsid w:val="00660493"/>
    <w:rsid w:val="00661833"/>
    <w:rsid w:val="00662352"/>
    <w:rsid w:val="00662DD2"/>
    <w:rsid w:val="00662FF4"/>
    <w:rsid w:val="00664049"/>
    <w:rsid w:val="0066457B"/>
    <w:rsid w:val="00664647"/>
    <w:rsid w:val="006661AB"/>
    <w:rsid w:val="00666439"/>
    <w:rsid w:val="006667C2"/>
    <w:rsid w:val="0066729B"/>
    <w:rsid w:val="00672437"/>
    <w:rsid w:val="00675225"/>
    <w:rsid w:val="00675E84"/>
    <w:rsid w:val="00675F77"/>
    <w:rsid w:val="0067778C"/>
    <w:rsid w:val="00681E91"/>
    <w:rsid w:val="00682671"/>
    <w:rsid w:val="0068481A"/>
    <w:rsid w:val="006851C2"/>
    <w:rsid w:val="00686DAB"/>
    <w:rsid w:val="00690101"/>
    <w:rsid w:val="0069104E"/>
    <w:rsid w:val="0069199D"/>
    <w:rsid w:val="00692442"/>
    <w:rsid w:val="0069318D"/>
    <w:rsid w:val="00693615"/>
    <w:rsid w:val="00693F2D"/>
    <w:rsid w:val="006940D4"/>
    <w:rsid w:val="0069547B"/>
    <w:rsid w:val="0069630A"/>
    <w:rsid w:val="006A02DD"/>
    <w:rsid w:val="006A0B0B"/>
    <w:rsid w:val="006A1FA4"/>
    <w:rsid w:val="006A5EF7"/>
    <w:rsid w:val="006A6EE0"/>
    <w:rsid w:val="006A71E7"/>
    <w:rsid w:val="006A72E5"/>
    <w:rsid w:val="006B02C1"/>
    <w:rsid w:val="006B0384"/>
    <w:rsid w:val="006B077F"/>
    <w:rsid w:val="006B117F"/>
    <w:rsid w:val="006B118E"/>
    <w:rsid w:val="006B264B"/>
    <w:rsid w:val="006B3A96"/>
    <w:rsid w:val="006B3C37"/>
    <w:rsid w:val="006B6AF9"/>
    <w:rsid w:val="006C12E6"/>
    <w:rsid w:val="006C45AF"/>
    <w:rsid w:val="006C49C9"/>
    <w:rsid w:val="006C5C8F"/>
    <w:rsid w:val="006C6596"/>
    <w:rsid w:val="006C6602"/>
    <w:rsid w:val="006C6FC4"/>
    <w:rsid w:val="006C7CCE"/>
    <w:rsid w:val="006D06D0"/>
    <w:rsid w:val="006D08BF"/>
    <w:rsid w:val="006D212E"/>
    <w:rsid w:val="006D28ED"/>
    <w:rsid w:val="006D3B6D"/>
    <w:rsid w:val="006D42A7"/>
    <w:rsid w:val="006D4D50"/>
    <w:rsid w:val="006D5C8A"/>
    <w:rsid w:val="006D72F7"/>
    <w:rsid w:val="006D7DA5"/>
    <w:rsid w:val="006D7E6A"/>
    <w:rsid w:val="006E3D99"/>
    <w:rsid w:val="006E474C"/>
    <w:rsid w:val="006E5426"/>
    <w:rsid w:val="006E5A8B"/>
    <w:rsid w:val="006E6210"/>
    <w:rsid w:val="006F0197"/>
    <w:rsid w:val="006F144C"/>
    <w:rsid w:val="006F19B4"/>
    <w:rsid w:val="006F65B6"/>
    <w:rsid w:val="006F6B3B"/>
    <w:rsid w:val="00700126"/>
    <w:rsid w:val="007010AA"/>
    <w:rsid w:val="00702486"/>
    <w:rsid w:val="00703DFC"/>
    <w:rsid w:val="007046F3"/>
    <w:rsid w:val="00704AE3"/>
    <w:rsid w:val="007052C3"/>
    <w:rsid w:val="0070592A"/>
    <w:rsid w:val="0070599D"/>
    <w:rsid w:val="0070653C"/>
    <w:rsid w:val="00707190"/>
    <w:rsid w:val="007077BA"/>
    <w:rsid w:val="00710A58"/>
    <w:rsid w:val="00710C2C"/>
    <w:rsid w:val="00713934"/>
    <w:rsid w:val="007142A6"/>
    <w:rsid w:val="0071441B"/>
    <w:rsid w:val="00715E7A"/>
    <w:rsid w:val="00716E8C"/>
    <w:rsid w:val="00720283"/>
    <w:rsid w:val="00720A15"/>
    <w:rsid w:val="00721170"/>
    <w:rsid w:val="0072510F"/>
    <w:rsid w:val="00725ED1"/>
    <w:rsid w:val="007278B8"/>
    <w:rsid w:val="007309D3"/>
    <w:rsid w:val="00732321"/>
    <w:rsid w:val="0073363A"/>
    <w:rsid w:val="00733BB9"/>
    <w:rsid w:val="00733F8C"/>
    <w:rsid w:val="007421C8"/>
    <w:rsid w:val="007421FA"/>
    <w:rsid w:val="007431B2"/>
    <w:rsid w:val="007442ED"/>
    <w:rsid w:val="00746AE6"/>
    <w:rsid w:val="00747139"/>
    <w:rsid w:val="0075014A"/>
    <w:rsid w:val="00751BED"/>
    <w:rsid w:val="007522F9"/>
    <w:rsid w:val="0075230D"/>
    <w:rsid w:val="00754541"/>
    <w:rsid w:val="007615D8"/>
    <w:rsid w:val="007647E4"/>
    <w:rsid w:val="00765CCE"/>
    <w:rsid w:val="00766002"/>
    <w:rsid w:val="007666A5"/>
    <w:rsid w:val="00770204"/>
    <w:rsid w:val="007705E3"/>
    <w:rsid w:val="00770645"/>
    <w:rsid w:val="00770C44"/>
    <w:rsid w:val="00771EB0"/>
    <w:rsid w:val="00775969"/>
    <w:rsid w:val="00776BB6"/>
    <w:rsid w:val="00780190"/>
    <w:rsid w:val="00781219"/>
    <w:rsid w:val="00781EFA"/>
    <w:rsid w:val="00783C2E"/>
    <w:rsid w:val="0078438C"/>
    <w:rsid w:val="007849E6"/>
    <w:rsid w:val="00784A24"/>
    <w:rsid w:val="00784C1B"/>
    <w:rsid w:val="00787B20"/>
    <w:rsid w:val="007942B4"/>
    <w:rsid w:val="00795678"/>
    <w:rsid w:val="00796820"/>
    <w:rsid w:val="00796CA4"/>
    <w:rsid w:val="007974CB"/>
    <w:rsid w:val="007A133C"/>
    <w:rsid w:val="007A28AD"/>
    <w:rsid w:val="007A2DEB"/>
    <w:rsid w:val="007A4236"/>
    <w:rsid w:val="007A432B"/>
    <w:rsid w:val="007A5B9B"/>
    <w:rsid w:val="007A5C10"/>
    <w:rsid w:val="007A6E7B"/>
    <w:rsid w:val="007A73B4"/>
    <w:rsid w:val="007A75CE"/>
    <w:rsid w:val="007A7D26"/>
    <w:rsid w:val="007B152B"/>
    <w:rsid w:val="007B16C4"/>
    <w:rsid w:val="007B19CC"/>
    <w:rsid w:val="007B376F"/>
    <w:rsid w:val="007B3FC8"/>
    <w:rsid w:val="007B4631"/>
    <w:rsid w:val="007B6623"/>
    <w:rsid w:val="007B7B33"/>
    <w:rsid w:val="007C13FE"/>
    <w:rsid w:val="007C5CF8"/>
    <w:rsid w:val="007C681E"/>
    <w:rsid w:val="007C68D7"/>
    <w:rsid w:val="007C7246"/>
    <w:rsid w:val="007C7EC8"/>
    <w:rsid w:val="007D2EA0"/>
    <w:rsid w:val="007D33AD"/>
    <w:rsid w:val="007D51C0"/>
    <w:rsid w:val="007E12A2"/>
    <w:rsid w:val="007E1BB4"/>
    <w:rsid w:val="007E3AEC"/>
    <w:rsid w:val="007E4852"/>
    <w:rsid w:val="007E49F5"/>
    <w:rsid w:val="007E4BD6"/>
    <w:rsid w:val="007E558C"/>
    <w:rsid w:val="007E578F"/>
    <w:rsid w:val="007E5ED6"/>
    <w:rsid w:val="007E78DC"/>
    <w:rsid w:val="007F004D"/>
    <w:rsid w:val="007F5943"/>
    <w:rsid w:val="007F6246"/>
    <w:rsid w:val="007F7CBA"/>
    <w:rsid w:val="00800737"/>
    <w:rsid w:val="0080087B"/>
    <w:rsid w:val="008019E9"/>
    <w:rsid w:val="008043F3"/>
    <w:rsid w:val="0080614B"/>
    <w:rsid w:val="00806624"/>
    <w:rsid w:val="008110D5"/>
    <w:rsid w:val="00812962"/>
    <w:rsid w:val="00814E4A"/>
    <w:rsid w:val="00817315"/>
    <w:rsid w:val="00817550"/>
    <w:rsid w:val="0082384C"/>
    <w:rsid w:val="00826459"/>
    <w:rsid w:val="00830626"/>
    <w:rsid w:val="008331F0"/>
    <w:rsid w:val="00833B06"/>
    <w:rsid w:val="00835333"/>
    <w:rsid w:val="00835ED4"/>
    <w:rsid w:val="0083624A"/>
    <w:rsid w:val="008377FE"/>
    <w:rsid w:val="00841C2D"/>
    <w:rsid w:val="00841F3B"/>
    <w:rsid w:val="00852D62"/>
    <w:rsid w:val="00855C99"/>
    <w:rsid w:val="00856027"/>
    <w:rsid w:val="008569B0"/>
    <w:rsid w:val="00856C2D"/>
    <w:rsid w:val="00857585"/>
    <w:rsid w:val="0085799A"/>
    <w:rsid w:val="00860A9A"/>
    <w:rsid w:val="00861520"/>
    <w:rsid w:val="00863139"/>
    <w:rsid w:val="00867334"/>
    <w:rsid w:val="008713CF"/>
    <w:rsid w:val="0087177E"/>
    <w:rsid w:val="008730C9"/>
    <w:rsid w:val="00873972"/>
    <w:rsid w:val="00875CA8"/>
    <w:rsid w:val="00877C05"/>
    <w:rsid w:val="00880B9E"/>
    <w:rsid w:val="00881E1D"/>
    <w:rsid w:val="00882814"/>
    <w:rsid w:val="00882B57"/>
    <w:rsid w:val="00882BBB"/>
    <w:rsid w:val="00882C72"/>
    <w:rsid w:val="00883828"/>
    <w:rsid w:val="00883BD6"/>
    <w:rsid w:val="00885757"/>
    <w:rsid w:val="00885F1C"/>
    <w:rsid w:val="008871CC"/>
    <w:rsid w:val="00887400"/>
    <w:rsid w:val="008878B0"/>
    <w:rsid w:val="00890AC4"/>
    <w:rsid w:val="00890AD3"/>
    <w:rsid w:val="00890FFD"/>
    <w:rsid w:val="008914F9"/>
    <w:rsid w:val="00897534"/>
    <w:rsid w:val="00897DA9"/>
    <w:rsid w:val="008A095F"/>
    <w:rsid w:val="008A1C0B"/>
    <w:rsid w:val="008A263B"/>
    <w:rsid w:val="008A2905"/>
    <w:rsid w:val="008A2AC9"/>
    <w:rsid w:val="008A5650"/>
    <w:rsid w:val="008A5C5C"/>
    <w:rsid w:val="008A6D46"/>
    <w:rsid w:val="008B1B31"/>
    <w:rsid w:val="008B33DD"/>
    <w:rsid w:val="008B4BA6"/>
    <w:rsid w:val="008B50AC"/>
    <w:rsid w:val="008B6A07"/>
    <w:rsid w:val="008C2401"/>
    <w:rsid w:val="008C2EE1"/>
    <w:rsid w:val="008C5467"/>
    <w:rsid w:val="008C7D14"/>
    <w:rsid w:val="008D1343"/>
    <w:rsid w:val="008D15FC"/>
    <w:rsid w:val="008D208A"/>
    <w:rsid w:val="008D519A"/>
    <w:rsid w:val="008D5569"/>
    <w:rsid w:val="008D74CA"/>
    <w:rsid w:val="008D7A3E"/>
    <w:rsid w:val="008D7D76"/>
    <w:rsid w:val="008E11DE"/>
    <w:rsid w:val="008E5D9A"/>
    <w:rsid w:val="008E5EEA"/>
    <w:rsid w:val="008E618D"/>
    <w:rsid w:val="008F00BC"/>
    <w:rsid w:val="008F36AA"/>
    <w:rsid w:val="008F39D9"/>
    <w:rsid w:val="008F4BFB"/>
    <w:rsid w:val="008F4F34"/>
    <w:rsid w:val="008F54E2"/>
    <w:rsid w:val="008F60FF"/>
    <w:rsid w:val="008F671A"/>
    <w:rsid w:val="008F69BB"/>
    <w:rsid w:val="008F6DE4"/>
    <w:rsid w:val="008F7017"/>
    <w:rsid w:val="009005D4"/>
    <w:rsid w:val="00900CB3"/>
    <w:rsid w:val="00901D04"/>
    <w:rsid w:val="00902BE7"/>
    <w:rsid w:val="00902F49"/>
    <w:rsid w:val="009046B0"/>
    <w:rsid w:val="0090565B"/>
    <w:rsid w:val="00906A14"/>
    <w:rsid w:val="00907187"/>
    <w:rsid w:val="00907707"/>
    <w:rsid w:val="00907A75"/>
    <w:rsid w:val="00907B15"/>
    <w:rsid w:val="009109AF"/>
    <w:rsid w:val="00913E05"/>
    <w:rsid w:val="009160DD"/>
    <w:rsid w:val="009208F0"/>
    <w:rsid w:val="009213E9"/>
    <w:rsid w:val="00921412"/>
    <w:rsid w:val="00921434"/>
    <w:rsid w:val="009219DA"/>
    <w:rsid w:val="009222A3"/>
    <w:rsid w:val="0092257A"/>
    <w:rsid w:val="00924021"/>
    <w:rsid w:val="009245D1"/>
    <w:rsid w:val="009257B2"/>
    <w:rsid w:val="00925823"/>
    <w:rsid w:val="00925A4A"/>
    <w:rsid w:val="0093060D"/>
    <w:rsid w:val="00931C98"/>
    <w:rsid w:val="00931D82"/>
    <w:rsid w:val="0093202B"/>
    <w:rsid w:val="00932E14"/>
    <w:rsid w:val="009331E5"/>
    <w:rsid w:val="009337FE"/>
    <w:rsid w:val="0093429D"/>
    <w:rsid w:val="009343CE"/>
    <w:rsid w:val="00935E8F"/>
    <w:rsid w:val="0093612B"/>
    <w:rsid w:val="00936451"/>
    <w:rsid w:val="00937FFC"/>
    <w:rsid w:val="00943382"/>
    <w:rsid w:val="00943C18"/>
    <w:rsid w:val="009445D5"/>
    <w:rsid w:val="0094513F"/>
    <w:rsid w:val="00945585"/>
    <w:rsid w:val="009457F8"/>
    <w:rsid w:val="009478E8"/>
    <w:rsid w:val="009505C3"/>
    <w:rsid w:val="00951257"/>
    <w:rsid w:val="00952D52"/>
    <w:rsid w:val="00956CFC"/>
    <w:rsid w:val="00957D3C"/>
    <w:rsid w:val="00960679"/>
    <w:rsid w:val="00960A8D"/>
    <w:rsid w:val="00961379"/>
    <w:rsid w:val="00961947"/>
    <w:rsid w:val="00962106"/>
    <w:rsid w:val="009628EA"/>
    <w:rsid w:val="00962DF2"/>
    <w:rsid w:val="00963522"/>
    <w:rsid w:val="00963AD7"/>
    <w:rsid w:val="00964D86"/>
    <w:rsid w:val="00965DF9"/>
    <w:rsid w:val="00971D95"/>
    <w:rsid w:val="009723A9"/>
    <w:rsid w:val="009732F3"/>
    <w:rsid w:val="0097452A"/>
    <w:rsid w:val="0097517B"/>
    <w:rsid w:val="00975554"/>
    <w:rsid w:val="009763B1"/>
    <w:rsid w:val="00980D81"/>
    <w:rsid w:val="00981DC4"/>
    <w:rsid w:val="0098510A"/>
    <w:rsid w:val="009854A9"/>
    <w:rsid w:val="009855D0"/>
    <w:rsid w:val="009860B1"/>
    <w:rsid w:val="009861FC"/>
    <w:rsid w:val="009866FA"/>
    <w:rsid w:val="00987AEF"/>
    <w:rsid w:val="00990168"/>
    <w:rsid w:val="00990539"/>
    <w:rsid w:val="00994555"/>
    <w:rsid w:val="00995736"/>
    <w:rsid w:val="00995D66"/>
    <w:rsid w:val="00996CFB"/>
    <w:rsid w:val="00996DA9"/>
    <w:rsid w:val="009A045C"/>
    <w:rsid w:val="009A19ED"/>
    <w:rsid w:val="009A1F1F"/>
    <w:rsid w:val="009A2528"/>
    <w:rsid w:val="009A267E"/>
    <w:rsid w:val="009A44FE"/>
    <w:rsid w:val="009A4921"/>
    <w:rsid w:val="009A5DE8"/>
    <w:rsid w:val="009B077D"/>
    <w:rsid w:val="009B0A9A"/>
    <w:rsid w:val="009B1E57"/>
    <w:rsid w:val="009B3206"/>
    <w:rsid w:val="009B3370"/>
    <w:rsid w:val="009B34EA"/>
    <w:rsid w:val="009B380E"/>
    <w:rsid w:val="009B3D1E"/>
    <w:rsid w:val="009B4465"/>
    <w:rsid w:val="009B6ABF"/>
    <w:rsid w:val="009B6D84"/>
    <w:rsid w:val="009B7746"/>
    <w:rsid w:val="009C0B9A"/>
    <w:rsid w:val="009C11CC"/>
    <w:rsid w:val="009C38EB"/>
    <w:rsid w:val="009C3DF3"/>
    <w:rsid w:val="009C4E58"/>
    <w:rsid w:val="009C75C1"/>
    <w:rsid w:val="009C7BB9"/>
    <w:rsid w:val="009C7FC1"/>
    <w:rsid w:val="009D1A10"/>
    <w:rsid w:val="009D2FEF"/>
    <w:rsid w:val="009D3532"/>
    <w:rsid w:val="009D3D6F"/>
    <w:rsid w:val="009D4D68"/>
    <w:rsid w:val="009D4F70"/>
    <w:rsid w:val="009D59D3"/>
    <w:rsid w:val="009D61C4"/>
    <w:rsid w:val="009D659B"/>
    <w:rsid w:val="009E05B3"/>
    <w:rsid w:val="009E1014"/>
    <w:rsid w:val="009E17D9"/>
    <w:rsid w:val="009E1A7F"/>
    <w:rsid w:val="009E2E7E"/>
    <w:rsid w:val="009E2EAA"/>
    <w:rsid w:val="009E4FEF"/>
    <w:rsid w:val="009E5AC7"/>
    <w:rsid w:val="009E5BDB"/>
    <w:rsid w:val="009E6D7C"/>
    <w:rsid w:val="009E7327"/>
    <w:rsid w:val="009E74BB"/>
    <w:rsid w:val="009E7770"/>
    <w:rsid w:val="009E7A19"/>
    <w:rsid w:val="009F001F"/>
    <w:rsid w:val="009F32C3"/>
    <w:rsid w:val="009F3DD9"/>
    <w:rsid w:val="009F4900"/>
    <w:rsid w:val="009F5879"/>
    <w:rsid w:val="009F5C10"/>
    <w:rsid w:val="009F60B7"/>
    <w:rsid w:val="009F7145"/>
    <w:rsid w:val="009F7DB7"/>
    <w:rsid w:val="00A01216"/>
    <w:rsid w:val="00A01C67"/>
    <w:rsid w:val="00A02018"/>
    <w:rsid w:val="00A07537"/>
    <w:rsid w:val="00A07B48"/>
    <w:rsid w:val="00A07DC5"/>
    <w:rsid w:val="00A111AD"/>
    <w:rsid w:val="00A11640"/>
    <w:rsid w:val="00A13C78"/>
    <w:rsid w:val="00A160B7"/>
    <w:rsid w:val="00A16C6E"/>
    <w:rsid w:val="00A215DA"/>
    <w:rsid w:val="00A216F1"/>
    <w:rsid w:val="00A22842"/>
    <w:rsid w:val="00A23BAC"/>
    <w:rsid w:val="00A24ED0"/>
    <w:rsid w:val="00A25330"/>
    <w:rsid w:val="00A25621"/>
    <w:rsid w:val="00A26D5D"/>
    <w:rsid w:val="00A279BF"/>
    <w:rsid w:val="00A3280F"/>
    <w:rsid w:val="00A34364"/>
    <w:rsid w:val="00A3462A"/>
    <w:rsid w:val="00A350F9"/>
    <w:rsid w:val="00A3669B"/>
    <w:rsid w:val="00A36F0E"/>
    <w:rsid w:val="00A37360"/>
    <w:rsid w:val="00A37772"/>
    <w:rsid w:val="00A40138"/>
    <w:rsid w:val="00A40675"/>
    <w:rsid w:val="00A41680"/>
    <w:rsid w:val="00A41A2D"/>
    <w:rsid w:val="00A41E2D"/>
    <w:rsid w:val="00A46814"/>
    <w:rsid w:val="00A46C5E"/>
    <w:rsid w:val="00A500B3"/>
    <w:rsid w:val="00A50848"/>
    <w:rsid w:val="00A51580"/>
    <w:rsid w:val="00A516EE"/>
    <w:rsid w:val="00A518A9"/>
    <w:rsid w:val="00A525C3"/>
    <w:rsid w:val="00A5317D"/>
    <w:rsid w:val="00A61C65"/>
    <w:rsid w:val="00A61CEA"/>
    <w:rsid w:val="00A63C77"/>
    <w:rsid w:val="00A647F8"/>
    <w:rsid w:val="00A650D8"/>
    <w:rsid w:val="00A660B4"/>
    <w:rsid w:val="00A67E20"/>
    <w:rsid w:val="00A67EEC"/>
    <w:rsid w:val="00A70779"/>
    <w:rsid w:val="00A7077A"/>
    <w:rsid w:val="00A71309"/>
    <w:rsid w:val="00A71450"/>
    <w:rsid w:val="00A73219"/>
    <w:rsid w:val="00A74F27"/>
    <w:rsid w:val="00A750DC"/>
    <w:rsid w:val="00A7534B"/>
    <w:rsid w:val="00A76823"/>
    <w:rsid w:val="00A7693C"/>
    <w:rsid w:val="00A76DED"/>
    <w:rsid w:val="00A80165"/>
    <w:rsid w:val="00A81738"/>
    <w:rsid w:val="00A81868"/>
    <w:rsid w:val="00A82061"/>
    <w:rsid w:val="00A826F6"/>
    <w:rsid w:val="00A835EE"/>
    <w:rsid w:val="00A83891"/>
    <w:rsid w:val="00A854CF"/>
    <w:rsid w:val="00A9079D"/>
    <w:rsid w:val="00A94151"/>
    <w:rsid w:val="00A95047"/>
    <w:rsid w:val="00A95CC2"/>
    <w:rsid w:val="00A95FB8"/>
    <w:rsid w:val="00A97E91"/>
    <w:rsid w:val="00AA1966"/>
    <w:rsid w:val="00AA1A3C"/>
    <w:rsid w:val="00AA1B1E"/>
    <w:rsid w:val="00AA2AB2"/>
    <w:rsid w:val="00AA5411"/>
    <w:rsid w:val="00AA7560"/>
    <w:rsid w:val="00AA7A3D"/>
    <w:rsid w:val="00AB0157"/>
    <w:rsid w:val="00AB07DE"/>
    <w:rsid w:val="00AB27CC"/>
    <w:rsid w:val="00AB4110"/>
    <w:rsid w:val="00AB640F"/>
    <w:rsid w:val="00AB75A1"/>
    <w:rsid w:val="00AB7BEE"/>
    <w:rsid w:val="00AC2C1A"/>
    <w:rsid w:val="00AC57CB"/>
    <w:rsid w:val="00AC76A5"/>
    <w:rsid w:val="00AC7C1E"/>
    <w:rsid w:val="00AC7F2D"/>
    <w:rsid w:val="00AD06F9"/>
    <w:rsid w:val="00AD08E6"/>
    <w:rsid w:val="00AD332A"/>
    <w:rsid w:val="00AD4031"/>
    <w:rsid w:val="00AD59B5"/>
    <w:rsid w:val="00AD5EC5"/>
    <w:rsid w:val="00AD7421"/>
    <w:rsid w:val="00AD7BF1"/>
    <w:rsid w:val="00AE0AF5"/>
    <w:rsid w:val="00AE4A62"/>
    <w:rsid w:val="00AE6130"/>
    <w:rsid w:val="00AE701B"/>
    <w:rsid w:val="00AE7D58"/>
    <w:rsid w:val="00AF0515"/>
    <w:rsid w:val="00AF0E8C"/>
    <w:rsid w:val="00AF184C"/>
    <w:rsid w:val="00AF5BDE"/>
    <w:rsid w:val="00AF7741"/>
    <w:rsid w:val="00B0138B"/>
    <w:rsid w:val="00B01B6B"/>
    <w:rsid w:val="00B020B8"/>
    <w:rsid w:val="00B020F0"/>
    <w:rsid w:val="00B02350"/>
    <w:rsid w:val="00B04AAF"/>
    <w:rsid w:val="00B04CEF"/>
    <w:rsid w:val="00B06B1D"/>
    <w:rsid w:val="00B079BE"/>
    <w:rsid w:val="00B11329"/>
    <w:rsid w:val="00B14171"/>
    <w:rsid w:val="00B147EC"/>
    <w:rsid w:val="00B176DD"/>
    <w:rsid w:val="00B20423"/>
    <w:rsid w:val="00B23DA9"/>
    <w:rsid w:val="00B25704"/>
    <w:rsid w:val="00B2736E"/>
    <w:rsid w:val="00B27D69"/>
    <w:rsid w:val="00B33BFE"/>
    <w:rsid w:val="00B33EB0"/>
    <w:rsid w:val="00B362ED"/>
    <w:rsid w:val="00B36B6E"/>
    <w:rsid w:val="00B36B7E"/>
    <w:rsid w:val="00B378AF"/>
    <w:rsid w:val="00B41CB3"/>
    <w:rsid w:val="00B421C7"/>
    <w:rsid w:val="00B43230"/>
    <w:rsid w:val="00B4412E"/>
    <w:rsid w:val="00B4467E"/>
    <w:rsid w:val="00B44770"/>
    <w:rsid w:val="00B44E51"/>
    <w:rsid w:val="00B458C0"/>
    <w:rsid w:val="00B46924"/>
    <w:rsid w:val="00B47ED7"/>
    <w:rsid w:val="00B52BB3"/>
    <w:rsid w:val="00B5343B"/>
    <w:rsid w:val="00B539D7"/>
    <w:rsid w:val="00B56723"/>
    <w:rsid w:val="00B576EF"/>
    <w:rsid w:val="00B61D08"/>
    <w:rsid w:val="00B62F09"/>
    <w:rsid w:val="00B631EA"/>
    <w:rsid w:val="00B63A70"/>
    <w:rsid w:val="00B64371"/>
    <w:rsid w:val="00B6527F"/>
    <w:rsid w:val="00B65FB9"/>
    <w:rsid w:val="00B66CC6"/>
    <w:rsid w:val="00B71B75"/>
    <w:rsid w:val="00B71E77"/>
    <w:rsid w:val="00B74B6A"/>
    <w:rsid w:val="00B74E51"/>
    <w:rsid w:val="00B75014"/>
    <w:rsid w:val="00B75953"/>
    <w:rsid w:val="00B76D8D"/>
    <w:rsid w:val="00B77528"/>
    <w:rsid w:val="00B81A82"/>
    <w:rsid w:val="00B83104"/>
    <w:rsid w:val="00B83776"/>
    <w:rsid w:val="00B8669C"/>
    <w:rsid w:val="00B9112F"/>
    <w:rsid w:val="00B920D0"/>
    <w:rsid w:val="00B933C5"/>
    <w:rsid w:val="00B93AAB"/>
    <w:rsid w:val="00B93C7F"/>
    <w:rsid w:val="00B94955"/>
    <w:rsid w:val="00B9595B"/>
    <w:rsid w:val="00B969DE"/>
    <w:rsid w:val="00B96C07"/>
    <w:rsid w:val="00B96C6A"/>
    <w:rsid w:val="00B9716C"/>
    <w:rsid w:val="00B9731C"/>
    <w:rsid w:val="00B9756D"/>
    <w:rsid w:val="00BA0961"/>
    <w:rsid w:val="00BA14D5"/>
    <w:rsid w:val="00BA24A6"/>
    <w:rsid w:val="00BA3A56"/>
    <w:rsid w:val="00BA4F73"/>
    <w:rsid w:val="00BA5CF7"/>
    <w:rsid w:val="00BA657E"/>
    <w:rsid w:val="00BB0C96"/>
    <w:rsid w:val="00BB14B6"/>
    <w:rsid w:val="00BB21DD"/>
    <w:rsid w:val="00BB2EDB"/>
    <w:rsid w:val="00BB5927"/>
    <w:rsid w:val="00BB66C5"/>
    <w:rsid w:val="00BC0C2F"/>
    <w:rsid w:val="00BC19AE"/>
    <w:rsid w:val="00BC4B5E"/>
    <w:rsid w:val="00BC6C0D"/>
    <w:rsid w:val="00BC73AA"/>
    <w:rsid w:val="00BC7B65"/>
    <w:rsid w:val="00BD02AA"/>
    <w:rsid w:val="00BD045D"/>
    <w:rsid w:val="00BD0D46"/>
    <w:rsid w:val="00BD1A4C"/>
    <w:rsid w:val="00BD25B7"/>
    <w:rsid w:val="00BD2AC2"/>
    <w:rsid w:val="00BD3100"/>
    <w:rsid w:val="00BD449E"/>
    <w:rsid w:val="00BD4BD6"/>
    <w:rsid w:val="00BD5F0A"/>
    <w:rsid w:val="00BD6AA9"/>
    <w:rsid w:val="00BD6CAD"/>
    <w:rsid w:val="00BD7D67"/>
    <w:rsid w:val="00BE00FA"/>
    <w:rsid w:val="00BE06AD"/>
    <w:rsid w:val="00BE0D6C"/>
    <w:rsid w:val="00BE455C"/>
    <w:rsid w:val="00BE5BD8"/>
    <w:rsid w:val="00BE5D5C"/>
    <w:rsid w:val="00BE75C4"/>
    <w:rsid w:val="00BF158F"/>
    <w:rsid w:val="00BF47B4"/>
    <w:rsid w:val="00BF6A63"/>
    <w:rsid w:val="00BF7D65"/>
    <w:rsid w:val="00BF7F21"/>
    <w:rsid w:val="00C00B2D"/>
    <w:rsid w:val="00C01E5F"/>
    <w:rsid w:val="00C02D91"/>
    <w:rsid w:val="00C02F3C"/>
    <w:rsid w:val="00C037EF"/>
    <w:rsid w:val="00C039DA"/>
    <w:rsid w:val="00C06175"/>
    <w:rsid w:val="00C06BAC"/>
    <w:rsid w:val="00C0768E"/>
    <w:rsid w:val="00C12A75"/>
    <w:rsid w:val="00C13046"/>
    <w:rsid w:val="00C136D8"/>
    <w:rsid w:val="00C144FD"/>
    <w:rsid w:val="00C16EF2"/>
    <w:rsid w:val="00C17A84"/>
    <w:rsid w:val="00C17C43"/>
    <w:rsid w:val="00C20203"/>
    <w:rsid w:val="00C20256"/>
    <w:rsid w:val="00C21867"/>
    <w:rsid w:val="00C24333"/>
    <w:rsid w:val="00C24567"/>
    <w:rsid w:val="00C24AD2"/>
    <w:rsid w:val="00C24DA0"/>
    <w:rsid w:val="00C252D5"/>
    <w:rsid w:val="00C254EC"/>
    <w:rsid w:val="00C2687F"/>
    <w:rsid w:val="00C26F82"/>
    <w:rsid w:val="00C27882"/>
    <w:rsid w:val="00C30C59"/>
    <w:rsid w:val="00C30F04"/>
    <w:rsid w:val="00C31EA9"/>
    <w:rsid w:val="00C32EE1"/>
    <w:rsid w:val="00C33A26"/>
    <w:rsid w:val="00C34F4E"/>
    <w:rsid w:val="00C353FC"/>
    <w:rsid w:val="00C35804"/>
    <w:rsid w:val="00C368EB"/>
    <w:rsid w:val="00C4125B"/>
    <w:rsid w:val="00C44694"/>
    <w:rsid w:val="00C44B13"/>
    <w:rsid w:val="00C547A9"/>
    <w:rsid w:val="00C55089"/>
    <w:rsid w:val="00C575F7"/>
    <w:rsid w:val="00C608C9"/>
    <w:rsid w:val="00C61ACE"/>
    <w:rsid w:val="00C639E9"/>
    <w:rsid w:val="00C64B16"/>
    <w:rsid w:val="00C6679A"/>
    <w:rsid w:val="00C70685"/>
    <w:rsid w:val="00C7172D"/>
    <w:rsid w:val="00C71F8F"/>
    <w:rsid w:val="00C7265A"/>
    <w:rsid w:val="00C72AAC"/>
    <w:rsid w:val="00C73CD6"/>
    <w:rsid w:val="00C740F5"/>
    <w:rsid w:val="00C746CB"/>
    <w:rsid w:val="00C74ADC"/>
    <w:rsid w:val="00C76212"/>
    <w:rsid w:val="00C76ABD"/>
    <w:rsid w:val="00C773D1"/>
    <w:rsid w:val="00C80ED4"/>
    <w:rsid w:val="00C8136F"/>
    <w:rsid w:val="00C816D6"/>
    <w:rsid w:val="00C81B59"/>
    <w:rsid w:val="00C83A64"/>
    <w:rsid w:val="00C83B04"/>
    <w:rsid w:val="00C85E8F"/>
    <w:rsid w:val="00C85F12"/>
    <w:rsid w:val="00C9079C"/>
    <w:rsid w:val="00C91DA0"/>
    <w:rsid w:val="00C951FB"/>
    <w:rsid w:val="00C95A6F"/>
    <w:rsid w:val="00C96BDF"/>
    <w:rsid w:val="00C96C93"/>
    <w:rsid w:val="00C97AC5"/>
    <w:rsid w:val="00CA1C25"/>
    <w:rsid w:val="00CA2DD3"/>
    <w:rsid w:val="00CA499A"/>
    <w:rsid w:val="00CA4B8D"/>
    <w:rsid w:val="00CA4EC6"/>
    <w:rsid w:val="00CA5927"/>
    <w:rsid w:val="00CB2E37"/>
    <w:rsid w:val="00CB3329"/>
    <w:rsid w:val="00CB5599"/>
    <w:rsid w:val="00CB5E96"/>
    <w:rsid w:val="00CB6D3D"/>
    <w:rsid w:val="00CB7262"/>
    <w:rsid w:val="00CB779B"/>
    <w:rsid w:val="00CC3027"/>
    <w:rsid w:val="00CC4C07"/>
    <w:rsid w:val="00CC6398"/>
    <w:rsid w:val="00CD0F7C"/>
    <w:rsid w:val="00CD1218"/>
    <w:rsid w:val="00CD3440"/>
    <w:rsid w:val="00CD42A7"/>
    <w:rsid w:val="00CD4893"/>
    <w:rsid w:val="00CE00C6"/>
    <w:rsid w:val="00CE0761"/>
    <w:rsid w:val="00CE0F85"/>
    <w:rsid w:val="00CE3B73"/>
    <w:rsid w:val="00CE57ED"/>
    <w:rsid w:val="00CE58DE"/>
    <w:rsid w:val="00CE6E31"/>
    <w:rsid w:val="00CE717A"/>
    <w:rsid w:val="00CE7B8B"/>
    <w:rsid w:val="00CE7D20"/>
    <w:rsid w:val="00CF025C"/>
    <w:rsid w:val="00CF0DC6"/>
    <w:rsid w:val="00CF2484"/>
    <w:rsid w:val="00CF2F0D"/>
    <w:rsid w:val="00CF4B48"/>
    <w:rsid w:val="00CF7220"/>
    <w:rsid w:val="00D012C7"/>
    <w:rsid w:val="00D029CB"/>
    <w:rsid w:val="00D03808"/>
    <w:rsid w:val="00D03DF9"/>
    <w:rsid w:val="00D0519E"/>
    <w:rsid w:val="00D054F2"/>
    <w:rsid w:val="00D05B51"/>
    <w:rsid w:val="00D06491"/>
    <w:rsid w:val="00D06EEA"/>
    <w:rsid w:val="00D07F51"/>
    <w:rsid w:val="00D1189A"/>
    <w:rsid w:val="00D118AE"/>
    <w:rsid w:val="00D11FDB"/>
    <w:rsid w:val="00D12CA1"/>
    <w:rsid w:val="00D13FB2"/>
    <w:rsid w:val="00D14A6A"/>
    <w:rsid w:val="00D15DF4"/>
    <w:rsid w:val="00D16380"/>
    <w:rsid w:val="00D171FE"/>
    <w:rsid w:val="00D17474"/>
    <w:rsid w:val="00D1763E"/>
    <w:rsid w:val="00D17723"/>
    <w:rsid w:val="00D17DB5"/>
    <w:rsid w:val="00D214D6"/>
    <w:rsid w:val="00D2162E"/>
    <w:rsid w:val="00D23D77"/>
    <w:rsid w:val="00D23F45"/>
    <w:rsid w:val="00D23F95"/>
    <w:rsid w:val="00D249EF"/>
    <w:rsid w:val="00D30676"/>
    <w:rsid w:val="00D310D6"/>
    <w:rsid w:val="00D31859"/>
    <w:rsid w:val="00D34746"/>
    <w:rsid w:val="00D35377"/>
    <w:rsid w:val="00D37EB3"/>
    <w:rsid w:val="00D4136F"/>
    <w:rsid w:val="00D41457"/>
    <w:rsid w:val="00D415A3"/>
    <w:rsid w:val="00D43BAF"/>
    <w:rsid w:val="00D4426B"/>
    <w:rsid w:val="00D44972"/>
    <w:rsid w:val="00D45576"/>
    <w:rsid w:val="00D46302"/>
    <w:rsid w:val="00D46A8D"/>
    <w:rsid w:val="00D46E0D"/>
    <w:rsid w:val="00D5164E"/>
    <w:rsid w:val="00D517D1"/>
    <w:rsid w:val="00D528FF"/>
    <w:rsid w:val="00D530EF"/>
    <w:rsid w:val="00D55710"/>
    <w:rsid w:val="00D55C01"/>
    <w:rsid w:val="00D6044C"/>
    <w:rsid w:val="00D62888"/>
    <w:rsid w:val="00D62AC1"/>
    <w:rsid w:val="00D62ED4"/>
    <w:rsid w:val="00D6335A"/>
    <w:rsid w:val="00D64D97"/>
    <w:rsid w:val="00D710B8"/>
    <w:rsid w:val="00D71EE4"/>
    <w:rsid w:val="00D72A5E"/>
    <w:rsid w:val="00D75334"/>
    <w:rsid w:val="00D77F94"/>
    <w:rsid w:val="00D807E9"/>
    <w:rsid w:val="00D82D5E"/>
    <w:rsid w:val="00D832E3"/>
    <w:rsid w:val="00D84433"/>
    <w:rsid w:val="00D8725F"/>
    <w:rsid w:val="00D87357"/>
    <w:rsid w:val="00D91679"/>
    <w:rsid w:val="00D91846"/>
    <w:rsid w:val="00D92DE8"/>
    <w:rsid w:val="00D9394A"/>
    <w:rsid w:val="00D949A4"/>
    <w:rsid w:val="00DA0743"/>
    <w:rsid w:val="00DA1FB0"/>
    <w:rsid w:val="00DA365B"/>
    <w:rsid w:val="00DA3A7B"/>
    <w:rsid w:val="00DA5273"/>
    <w:rsid w:val="00DA6E0F"/>
    <w:rsid w:val="00DA76D5"/>
    <w:rsid w:val="00DB1A7F"/>
    <w:rsid w:val="00DB4EF2"/>
    <w:rsid w:val="00DB533A"/>
    <w:rsid w:val="00DC0305"/>
    <w:rsid w:val="00DC0E5E"/>
    <w:rsid w:val="00DC1A81"/>
    <w:rsid w:val="00DC4DC8"/>
    <w:rsid w:val="00DC5FA6"/>
    <w:rsid w:val="00DC6094"/>
    <w:rsid w:val="00DC6843"/>
    <w:rsid w:val="00DC7C15"/>
    <w:rsid w:val="00DC7CDE"/>
    <w:rsid w:val="00DC7E6E"/>
    <w:rsid w:val="00DD1960"/>
    <w:rsid w:val="00DD2074"/>
    <w:rsid w:val="00DD34CB"/>
    <w:rsid w:val="00DD41D4"/>
    <w:rsid w:val="00DD4C92"/>
    <w:rsid w:val="00DD6E1B"/>
    <w:rsid w:val="00DE0A8F"/>
    <w:rsid w:val="00DE132E"/>
    <w:rsid w:val="00DE198C"/>
    <w:rsid w:val="00DE25D8"/>
    <w:rsid w:val="00DE331F"/>
    <w:rsid w:val="00DE3C98"/>
    <w:rsid w:val="00DE5349"/>
    <w:rsid w:val="00DE76AB"/>
    <w:rsid w:val="00DF1BD3"/>
    <w:rsid w:val="00DF24E0"/>
    <w:rsid w:val="00DF36EC"/>
    <w:rsid w:val="00DF4C03"/>
    <w:rsid w:val="00DF5206"/>
    <w:rsid w:val="00DF5C1B"/>
    <w:rsid w:val="00DF63F4"/>
    <w:rsid w:val="00DF7874"/>
    <w:rsid w:val="00DF7912"/>
    <w:rsid w:val="00E00FC3"/>
    <w:rsid w:val="00E02537"/>
    <w:rsid w:val="00E02A10"/>
    <w:rsid w:val="00E02A65"/>
    <w:rsid w:val="00E02F43"/>
    <w:rsid w:val="00E04106"/>
    <w:rsid w:val="00E04298"/>
    <w:rsid w:val="00E1039D"/>
    <w:rsid w:val="00E11C17"/>
    <w:rsid w:val="00E11C5A"/>
    <w:rsid w:val="00E120AD"/>
    <w:rsid w:val="00E12FB0"/>
    <w:rsid w:val="00E14FA8"/>
    <w:rsid w:val="00E15EE0"/>
    <w:rsid w:val="00E162CC"/>
    <w:rsid w:val="00E214DD"/>
    <w:rsid w:val="00E215ED"/>
    <w:rsid w:val="00E23BD5"/>
    <w:rsid w:val="00E23D62"/>
    <w:rsid w:val="00E24DAC"/>
    <w:rsid w:val="00E2537D"/>
    <w:rsid w:val="00E279ED"/>
    <w:rsid w:val="00E30844"/>
    <w:rsid w:val="00E31078"/>
    <w:rsid w:val="00E31951"/>
    <w:rsid w:val="00E3299C"/>
    <w:rsid w:val="00E338C0"/>
    <w:rsid w:val="00E34A76"/>
    <w:rsid w:val="00E36149"/>
    <w:rsid w:val="00E372C8"/>
    <w:rsid w:val="00E37BE1"/>
    <w:rsid w:val="00E37CEC"/>
    <w:rsid w:val="00E4063E"/>
    <w:rsid w:val="00E40646"/>
    <w:rsid w:val="00E40BC3"/>
    <w:rsid w:val="00E41CC1"/>
    <w:rsid w:val="00E45C4C"/>
    <w:rsid w:val="00E468F2"/>
    <w:rsid w:val="00E50737"/>
    <w:rsid w:val="00E51A0A"/>
    <w:rsid w:val="00E5216C"/>
    <w:rsid w:val="00E528AE"/>
    <w:rsid w:val="00E545CB"/>
    <w:rsid w:val="00E55B8B"/>
    <w:rsid w:val="00E619ED"/>
    <w:rsid w:val="00E638C5"/>
    <w:rsid w:val="00E65FC3"/>
    <w:rsid w:val="00E67461"/>
    <w:rsid w:val="00E67865"/>
    <w:rsid w:val="00E67D74"/>
    <w:rsid w:val="00E707E9"/>
    <w:rsid w:val="00E70862"/>
    <w:rsid w:val="00E71831"/>
    <w:rsid w:val="00E72AA0"/>
    <w:rsid w:val="00E7343C"/>
    <w:rsid w:val="00E76A39"/>
    <w:rsid w:val="00E7783B"/>
    <w:rsid w:val="00E77BB6"/>
    <w:rsid w:val="00E804D3"/>
    <w:rsid w:val="00E80DA3"/>
    <w:rsid w:val="00E81AF9"/>
    <w:rsid w:val="00E820B8"/>
    <w:rsid w:val="00E82EB6"/>
    <w:rsid w:val="00E845F3"/>
    <w:rsid w:val="00E8488F"/>
    <w:rsid w:val="00E860CB"/>
    <w:rsid w:val="00E860E4"/>
    <w:rsid w:val="00E86A85"/>
    <w:rsid w:val="00E86C3E"/>
    <w:rsid w:val="00E87068"/>
    <w:rsid w:val="00E875F7"/>
    <w:rsid w:val="00E92A50"/>
    <w:rsid w:val="00EA0355"/>
    <w:rsid w:val="00EA0FEE"/>
    <w:rsid w:val="00EA22E1"/>
    <w:rsid w:val="00EA2300"/>
    <w:rsid w:val="00EA256A"/>
    <w:rsid w:val="00EA3066"/>
    <w:rsid w:val="00EA3C52"/>
    <w:rsid w:val="00EA559F"/>
    <w:rsid w:val="00EA596A"/>
    <w:rsid w:val="00EA654E"/>
    <w:rsid w:val="00EB3088"/>
    <w:rsid w:val="00EB3A5B"/>
    <w:rsid w:val="00EB3AF9"/>
    <w:rsid w:val="00EB4292"/>
    <w:rsid w:val="00EB43CB"/>
    <w:rsid w:val="00EB452F"/>
    <w:rsid w:val="00EB4BEE"/>
    <w:rsid w:val="00EB53A0"/>
    <w:rsid w:val="00EB6AFB"/>
    <w:rsid w:val="00EB6CDA"/>
    <w:rsid w:val="00EB73BF"/>
    <w:rsid w:val="00EC0835"/>
    <w:rsid w:val="00EC109E"/>
    <w:rsid w:val="00EC1180"/>
    <w:rsid w:val="00EC3F9E"/>
    <w:rsid w:val="00EC57B2"/>
    <w:rsid w:val="00EC5801"/>
    <w:rsid w:val="00EC6892"/>
    <w:rsid w:val="00EC6989"/>
    <w:rsid w:val="00EC72C8"/>
    <w:rsid w:val="00EC78A2"/>
    <w:rsid w:val="00ED1308"/>
    <w:rsid w:val="00ED1593"/>
    <w:rsid w:val="00ED2A85"/>
    <w:rsid w:val="00ED2C3C"/>
    <w:rsid w:val="00ED2E7D"/>
    <w:rsid w:val="00ED2EB7"/>
    <w:rsid w:val="00ED3AE0"/>
    <w:rsid w:val="00ED42B3"/>
    <w:rsid w:val="00ED5485"/>
    <w:rsid w:val="00EE561B"/>
    <w:rsid w:val="00EE79B7"/>
    <w:rsid w:val="00EF1061"/>
    <w:rsid w:val="00EF2827"/>
    <w:rsid w:val="00EF2E9A"/>
    <w:rsid w:val="00EF3A5D"/>
    <w:rsid w:val="00EF4664"/>
    <w:rsid w:val="00EF5BB8"/>
    <w:rsid w:val="00EF6866"/>
    <w:rsid w:val="00EF7C31"/>
    <w:rsid w:val="00F002C9"/>
    <w:rsid w:val="00F003A5"/>
    <w:rsid w:val="00F018AF"/>
    <w:rsid w:val="00F02ECA"/>
    <w:rsid w:val="00F039A5"/>
    <w:rsid w:val="00F0426C"/>
    <w:rsid w:val="00F06156"/>
    <w:rsid w:val="00F075F5"/>
    <w:rsid w:val="00F102D6"/>
    <w:rsid w:val="00F105FE"/>
    <w:rsid w:val="00F10DF1"/>
    <w:rsid w:val="00F10F60"/>
    <w:rsid w:val="00F1119E"/>
    <w:rsid w:val="00F12ADD"/>
    <w:rsid w:val="00F13DEF"/>
    <w:rsid w:val="00F14703"/>
    <w:rsid w:val="00F15399"/>
    <w:rsid w:val="00F16A9E"/>
    <w:rsid w:val="00F16EBD"/>
    <w:rsid w:val="00F20EFA"/>
    <w:rsid w:val="00F21F46"/>
    <w:rsid w:val="00F250F6"/>
    <w:rsid w:val="00F255C1"/>
    <w:rsid w:val="00F257EC"/>
    <w:rsid w:val="00F26808"/>
    <w:rsid w:val="00F2698A"/>
    <w:rsid w:val="00F26F6B"/>
    <w:rsid w:val="00F30129"/>
    <w:rsid w:val="00F31C7B"/>
    <w:rsid w:val="00F3584E"/>
    <w:rsid w:val="00F37303"/>
    <w:rsid w:val="00F40C7D"/>
    <w:rsid w:val="00F41138"/>
    <w:rsid w:val="00F41D4E"/>
    <w:rsid w:val="00F420E8"/>
    <w:rsid w:val="00F42720"/>
    <w:rsid w:val="00F42FB0"/>
    <w:rsid w:val="00F430B8"/>
    <w:rsid w:val="00F44652"/>
    <w:rsid w:val="00F45F9C"/>
    <w:rsid w:val="00F462FB"/>
    <w:rsid w:val="00F4688A"/>
    <w:rsid w:val="00F471FA"/>
    <w:rsid w:val="00F47970"/>
    <w:rsid w:val="00F47F7E"/>
    <w:rsid w:val="00F50E11"/>
    <w:rsid w:val="00F51492"/>
    <w:rsid w:val="00F51D3F"/>
    <w:rsid w:val="00F52B47"/>
    <w:rsid w:val="00F55472"/>
    <w:rsid w:val="00F57B74"/>
    <w:rsid w:val="00F57F6B"/>
    <w:rsid w:val="00F61323"/>
    <w:rsid w:val="00F62A5A"/>
    <w:rsid w:val="00F63B1A"/>
    <w:rsid w:val="00F65B30"/>
    <w:rsid w:val="00F66BE6"/>
    <w:rsid w:val="00F70677"/>
    <w:rsid w:val="00F72612"/>
    <w:rsid w:val="00F73E99"/>
    <w:rsid w:val="00F74E3B"/>
    <w:rsid w:val="00F75874"/>
    <w:rsid w:val="00F765B7"/>
    <w:rsid w:val="00F76E41"/>
    <w:rsid w:val="00F77283"/>
    <w:rsid w:val="00F807E3"/>
    <w:rsid w:val="00F83604"/>
    <w:rsid w:val="00F85104"/>
    <w:rsid w:val="00F8585A"/>
    <w:rsid w:val="00F86597"/>
    <w:rsid w:val="00F90546"/>
    <w:rsid w:val="00F906B1"/>
    <w:rsid w:val="00F90A11"/>
    <w:rsid w:val="00F90E4B"/>
    <w:rsid w:val="00F92381"/>
    <w:rsid w:val="00F92751"/>
    <w:rsid w:val="00F94904"/>
    <w:rsid w:val="00F94B0C"/>
    <w:rsid w:val="00F951DE"/>
    <w:rsid w:val="00FA127B"/>
    <w:rsid w:val="00FA3B4F"/>
    <w:rsid w:val="00FA448F"/>
    <w:rsid w:val="00FA5A1B"/>
    <w:rsid w:val="00FA76D4"/>
    <w:rsid w:val="00FA786F"/>
    <w:rsid w:val="00FA79EC"/>
    <w:rsid w:val="00FB03F5"/>
    <w:rsid w:val="00FB1B91"/>
    <w:rsid w:val="00FB265F"/>
    <w:rsid w:val="00FB3645"/>
    <w:rsid w:val="00FB3B05"/>
    <w:rsid w:val="00FB4678"/>
    <w:rsid w:val="00FB4C32"/>
    <w:rsid w:val="00FB5188"/>
    <w:rsid w:val="00FB5A3A"/>
    <w:rsid w:val="00FB5B8C"/>
    <w:rsid w:val="00FB71D2"/>
    <w:rsid w:val="00FB7BC3"/>
    <w:rsid w:val="00FC10AD"/>
    <w:rsid w:val="00FC1311"/>
    <w:rsid w:val="00FC1914"/>
    <w:rsid w:val="00FC30C0"/>
    <w:rsid w:val="00FC33F3"/>
    <w:rsid w:val="00FC3EC9"/>
    <w:rsid w:val="00FC5866"/>
    <w:rsid w:val="00FC718A"/>
    <w:rsid w:val="00FC72D0"/>
    <w:rsid w:val="00FC7A61"/>
    <w:rsid w:val="00FD1739"/>
    <w:rsid w:val="00FD1912"/>
    <w:rsid w:val="00FD2386"/>
    <w:rsid w:val="00FD31C0"/>
    <w:rsid w:val="00FD4092"/>
    <w:rsid w:val="00FD40CA"/>
    <w:rsid w:val="00FD4820"/>
    <w:rsid w:val="00FD657A"/>
    <w:rsid w:val="00FD674D"/>
    <w:rsid w:val="00FD7E8E"/>
    <w:rsid w:val="00FE29F3"/>
    <w:rsid w:val="00FE2CFD"/>
    <w:rsid w:val="00FE4B89"/>
    <w:rsid w:val="00FE52BF"/>
    <w:rsid w:val="00FE5752"/>
    <w:rsid w:val="00FE5A1D"/>
    <w:rsid w:val="00FE5BDD"/>
    <w:rsid w:val="00FE63AA"/>
    <w:rsid w:val="00FF07B5"/>
    <w:rsid w:val="00FF1D64"/>
    <w:rsid w:val="00FF3C0F"/>
    <w:rsid w:val="00FF598C"/>
    <w:rsid w:val="00FF5B57"/>
    <w:rsid w:val="00FF6C83"/>
    <w:rsid w:val="00FF77F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A84161"/>
  <w15:docId w15:val="{A97A8565-5C7A-45DA-857B-042B1C0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BCF"/>
  </w:style>
  <w:style w:type="paragraph" w:styleId="Ttulo1">
    <w:name w:val="heading 1"/>
    <w:basedOn w:val="Normal"/>
    <w:next w:val="Normal"/>
    <w:link w:val="Ttulo1Car"/>
    <w:uiPriority w:val="9"/>
    <w:qFormat/>
    <w:rsid w:val="009E2EA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ar"/>
    <w:uiPriority w:val="9"/>
    <w:qFormat/>
    <w:rsid w:val="000D42D2"/>
    <w:pPr>
      <w:spacing w:before="100" w:beforeAutospacing="1" w:after="100" w:afterAutospacing="1"/>
      <w:outlineLvl w:val="1"/>
    </w:pPr>
    <w:rPr>
      <w:rFonts w:ascii="Times" w:hAnsi="Times"/>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D42D2"/>
    <w:pPr>
      <w:tabs>
        <w:tab w:val="center" w:pos="4252"/>
        <w:tab w:val="right" w:pos="8504"/>
      </w:tabs>
    </w:pPr>
  </w:style>
  <w:style w:type="character" w:customStyle="1" w:styleId="EncabezadoCar">
    <w:name w:val="Encabezado Car"/>
    <w:basedOn w:val="Fuentedeprrafopredeter"/>
    <w:link w:val="Encabezado"/>
    <w:uiPriority w:val="99"/>
    <w:rsid w:val="000D42D2"/>
  </w:style>
  <w:style w:type="paragraph" w:styleId="Piedepgina">
    <w:name w:val="footer"/>
    <w:basedOn w:val="Normal"/>
    <w:link w:val="PiedepginaCar"/>
    <w:uiPriority w:val="99"/>
    <w:unhideWhenUsed/>
    <w:rsid w:val="000D42D2"/>
    <w:pPr>
      <w:tabs>
        <w:tab w:val="center" w:pos="4252"/>
        <w:tab w:val="right" w:pos="8504"/>
      </w:tabs>
    </w:pPr>
  </w:style>
  <w:style w:type="character" w:customStyle="1" w:styleId="PiedepginaCar">
    <w:name w:val="Pie de página Car"/>
    <w:basedOn w:val="Fuentedeprrafopredeter"/>
    <w:link w:val="Piedepgina"/>
    <w:uiPriority w:val="99"/>
    <w:rsid w:val="000D42D2"/>
  </w:style>
  <w:style w:type="paragraph" w:styleId="Textodeglobo">
    <w:name w:val="Balloon Text"/>
    <w:basedOn w:val="Normal"/>
    <w:link w:val="TextodegloboCar"/>
    <w:uiPriority w:val="99"/>
    <w:semiHidden/>
    <w:unhideWhenUsed/>
    <w:rsid w:val="000D42D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D42D2"/>
    <w:rPr>
      <w:rFonts w:ascii="Lucida Grande" w:hAnsi="Lucida Grande" w:cs="Lucida Grande"/>
      <w:sz w:val="18"/>
      <w:szCs w:val="18"/>
    </w:rPr>
  </w:style>
  <w:style w:type="character" w:customStyle="1" w:styleId="Ttulo2Car">
    <w:name w:val="Título 2 Car"/>
    <w:basedOn w:val="Fuentedeprrafopredeter"/>
    <w:link w:val="Ttulo2"/>
    <w:uiPriority w:val="9"/>
    <w:rsid w:val="000D42D2"/>
    <w:rPr>
      <w:rFonts w:ascii="Times" w:hAnsi="Times"/>
      <w:b/>
      <w:bCs/>
      <w:sz w:val="36"/>
      <w:szCs w:val="36"/>
    </w:rPr>
  </w:style>
  <w:style w:type="paragraph" w:styleId="NormalWeb">
    <w:name w:val="Normal (Web)"/>
    <w:aliases w:val="Normal (Web) Car Car,Normal (Web) Car Car Car,Normal (Web) Car,Normal (Web) Car Car Car Car Car Car,Normal (Web) Car Car Car Car Car Car Car Car Car"/>
    <w:basedOn w:val="Normal"/>
    <w:uiPriority w:val="99"/>
    <w:semiHidden/>
    <w:unhideWhenUsed/>
    <w:qFormat/>
    <w:rsid w:val="000D42D2"/>
    <w:pPr>
      <w:spacing w:before="100" w:beforeAutospacing="1" w:after="100" w:afterAutospacing="1"/>
    </w:pPr>
    <w:rPr>
      <w:rFonts w:ascii="Times" w:hAnsi="Times" w:cs="Times New Roman"/>
      <w:sz w:val="20"/>
      <w:szCs w:val="20"/>
    </w:rPr>
  </w:style>
  <w:style w:type="character" w:styleId="Textoennegrita">
    <w:name w:val="Strong"/>
    <w:basedOn w:val="Fuentedeprrafopredeter"/>
    <w:uiPriority w:val="22"/>
    <w:qFormat/>
    <w:rsid w:val="000D42D2"/>
    <w:rPr>
      <w:b/>
      <w:bCs/>
    </w:rPr>
  </w:style>
  <w:style w:type="character" w:customStyle="1" w:styleId="apple-converted-space">
    <w:name w:val="apple-converted-space"/>
    <w:basedOn w:val="Fuentedeprrafopredeter"/>
    <w:rsid w:val="000D42D2"/>
  </w:style>
  <w:style w:type="paragraph" w:customStyle="1" w:styleId="Standard">
    <w:name w:val="Standard"/>
    <w:rsid w:val="001574A9"/>
    <w:pPr>
      <w:suppressAutoHyphens/>
      <w:autoSpaceDN w:val="0"/>
      <w:textAlignment w:val="baseline"/>
    </w:pPr>
    <w:rPr>
      <w:rFonts w:ascii="Times New Roman" w:eastAsia="Times New Roman" w:hAnsi="Times New Roman" w:cs="Times New Roman"/>
      <w:kern w:val="3"/>
      <w:lang w:val="es-ES" w:eastAsia="zh-CN"/>
    </w:rPr>
  </w:style>
  <w:style w:type="table" w:styleId="Tablaconcuadrcula">
    <w:name w:val="Table Grid"/>
    <w:basedOn w:val="Tablanormal"/>
    <w:uiPriority w:val="39"/>
    <w:rsid w:val="00764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51B0"/>
    <w:pPr>
      <w:ind w:left="720"/>
      <w:contextualSpacing/>
    </w:pPr>
  </w:style>
  <w:style w:type="character" w:customStyle="1" w:styleId="Ttulo1Car">
    <w:name w:val="Título 1 Car"/>
    <w:basedOn w:val="Fuentedeprrafopredeter"/>
    <w:link w:val="Ttulo1"/>
    <w:uiPriority w:val="9"/>
    <w:rsid w:val="009E2EA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5092">
      <w:bodyDiv w:val="1"/>
      <w:marLeft w:val="0"/>
      <w:marRight w:val="0"/>
      <w:marTop w:val="0"/>
      <w:marBottom w:val="0"/>
      <w:divBdr>
        <w:top w:val="none" w:sz="0" w:space="0" w:color="auto"/>
        <w:left w:val="none" w:sz="0" w:space="0" w:color="auto"/>
        <w:bottom w:val="none" w:sz="0" w:space="0" w:color="auto"/>
        <w:right w:val="none" w:sz="0" w:space="0" w:color="auto"/>
      </w:divBdr>
    </w:div>
    <w:div w:id="286132945">
      <w:bodyDiv w:val="1"/>
      <w:marLeft w:val="0"/>
      <w:marRight w:val="0"/>
      <w:marTop w:val="0"/>
      <w:marBottom w:val="0"/>
      <w:divBdr>
        <w:top w:val="none" w:sz="0" w:space="0" w:color="auto"/>
        <w:left w:val="none" w:sz="0" w:space="0" w:color="auto"/>
        <w:bottom w:val="none" w:sz="0" w:space="0" w:color="auto"/>
        <w:right w:val="none" w:sz="0" w:space="0" w:color="auto"/>
      </w:divBdr>
    </w:div>
    <w:div w:id="322396726">
      <w:bodyDiv w:val="1"/>
      <w:marLeft w:val="0"/>
      <w:marRight w:val="0"/>
      <w:marTop w:val="0"/>
      <w:marBottom w:val="0"/>
      <w:divBdr>
        <w:top w:val="none" w:sz="0" w:space="0" w:color="auto"/>
        <w:left w:val="none" w:sz="0" w:space="0" w:color="auto"/>
        <w:bottom w:val="none" w:sz="0" w:space="0" w:color="auto"/>
        <w:right w:val="none" w:sz="0" w:space="0" w:color="auto"/>
      </w:divBdr>
    </w:div>
    <w:div w:id="699282914">
      <w:bodyDiv w:val="1"/>
      <w:marLeft w:val="0"/>
      <w:marRight w:val="0"/>
      <w:marTop w:val="0"/>
      <w:marBottom w:val="0"/>
      <w:divBdr>
        <w:top w:val="none" w:sz="0" w:space="0" w:color="auto"/>
        <w:left w:val="none" w:sz="0" w:space="0" w:color="auto"/>
        <w:bottom w:val="none" w:sz="0" w:space="0" w:color="auto"/>
        <w:right w:val="none" w:sz="0" w:space="0" w:color="auto"/>
      </w:divBdr>
    </w:div>
    <w:div w:id="723795302">
      <w:bodyDiv w:val="1"/>
      <w:marLeft w:val="0"/>
      <w:marRight w:val="0"/>
      <w:marTop w:val="0"/>
      <w:marBottom w:val="0"/>
      <w:divBdr>
        <w:top w:val="none" w:sz="0" w:space="0" w:color="auto"/>
        <w:left w:val="none" w:sz="0" w:space="0" w:color="auto"/>
        <w:bottom w:val="none" w:sz="0" w:space="0" w:color="auto"/>
        <w:right w:val="none" w:sz="0" w:space="0" w:color="auto"/>
      </w:divBdr>
    </w:div>
    <w:div w:id="804390802">
      <w:bodyDiv w:val="1"/>
      <w:marLeft w:val="0"/>
      <w:marRight w:val="0"/>
      <w:marTop w:val="0"/>
      <w:marBottom w:val="0"/>
      <w:divBdr>
        <w:top w:val="none" w:sz="0" w:space="0" w:color="auto"/>
        <w:left w:val="none" w:sz="0" w:space="0" w:color="auto"/>
        <w:bottom w:val="none" w:sz="0" w:space="0" w:color="auto"/>
        <w:right w:val="none" w:sz="0" w:space="0" w:color="auto"/>
      </w:divBdr>
      <w:divsChild>
        <w:div w:id="1183668741">
          <w:marLeft w:val="432"/>
          <w:marRight w:val="216"/>
          <w:marTop w:val="0"/>
          <w:marBottom w:val="0"/>
          <w:divBdr>
            <w:top w:val="none" w:sz="0" w:space="0" w:color="auto"/>
            <w:left w:val="none" w:sz="0" w:space="0" w:color="auto"/>
            <w:bottom w:val="none" w:sz="0" w:space="0" w:color="auto"/>
            <w:right w:val="none" w:sz="0" w:space="0" w:color="auto"/>
          </w:divBdr>
        </w:div>
        <w:div w:id="452017744">
          <w:marLeft w:val="216"/>
          <w:marRight w:val="432"/>
          <w:marTop w:val="0"/>
          <w:marBottom w:val="0"/>
          <w:divBdr>
            <w:top w:val="none" w:sz="0" w:space="0" w:color="auto"/>
            <w:left w:val="none" w:sz="0" w:space="0" w:color="auto"/>
            <w:bottom w:val="none" w:sz="0" w:space="0" w:color="auto"/>
            <w:right w:val="none" w:sz="0" w:space="0" w:color="auto"/>
          </w:divBdr>
        </w:div>
      </w:divsChild>
    </w:div>
    <w:div w:id="1144197614">
      <w:bodyDiv w:val="1"/>
      <w:marLeft w:val="0"/>
      <w:marRight w:val="0"/>
      <w:marTop w:val="0"/>
      <w:marBottom w:val="0"/>
      <w:divBdr>
        <w:top w:val="none" w:sz="0" w:space="0" w:color="auto"/>
        <w:left w:val="none" w:sz="0" w:space="0" w:color="auto"/>
        <w:bottom w:val="none" w:sz="0" w:space="0" w:color="auto"/>
        <w:right w:val="none" w:sz="0" w:space="0" w:color="auto"/>
      </w:divBdr>
    </w:div>
    <w:div w:id="1188908413">
      <w:bodyDiv w:val="1"/>
      <w:marLeft w:val="0"/>
      <w:marRight w:val="0"/>
      <w:marTop w:val="0"/>
      <w:marBottom w:val="0"/>
      <w:divBdr>
        <w:top w:val="none" w:sz="0" w:space="0" w:color="auto"/>
        <w:left w:val="none" w:sz="0" w:space="0" w:color="auto"/>
        <w:bottom w:val="none" w:sz="0" w:space="0" w:color="auto"/>
        <w:right w:val="none" w:sz="0" w:space="0" w:color="auto"/>
      </w:divBdr>
    </w:div>
    <w:div w:id="1193417679">
      <w:bodyDiv w:val="1"/>
      <w:marLeft w:val="0"/>
      <w:marRight w:val="0"/>
      <w:marTop w:val="0"/>
      <w:marBottom w:val="0"/>
      <w:divBdr>
        <w:top w:val="none" w:sz="0" w:space="0" w:color="auto"/>
        <w:left w:val="none" w:sz="0" w:space="0" w:color="auto"/>
        <w:bottom w:val="none" w:sz="0" w:space="0" w:color="auto"/>
        <w:right w:val="none" w:sz="0" w:space="0" w:color="auto"/>
      </w:divBdr>
      <w:divsChild>
        <w:div w:id="34432568">
          <w:marLeft w:val="432"/>
          <w:marRight w:val="216"/>
          <w:marTop w:val="0"/>
          <w:marBottom w:val="0"/>
          <w:divBdr>
            <w:top w:val="none" w:sz="0" w:space="0" w:color="auto"/>
            <w:left w:val="none" w:sz="0" w:space="0" w:color="auto"/>
            <w:bottom w:val="none" w:sz="0" w:space="0" w:color="auto"/>
            <w:right w:val="none" w:sz="0" w:space="0" w:color="auto"/>
          </w:divBdr>
        </w:div>
        <w:div w:id="470252481">
          <w:marLeft w:val="216"/>
          <w:marRight w:val="432"/>
          <w:marTop w:val="0"/>
          <w:marBottom w:val="0"/>
          <w:divBdr>
            <w:top w:val="none" w:sz="0" w:space="0" w:color="auto"/>
            <w:left w:val="none" w:sz="0" w:space="0" w:color="auto"/>
            <w:bottom w:val="none" w:sz="0" w:space="0" w:color="auto"/>
            <w:right w:val="none" w:sz="0" w:space="0" w:color="auto"/>
          </w:divBdr>
        </w:div>
      </w:divsChild>
    </w:div>
    <w:div w:id="1302805601">
      <w:bodyDiv w:val="1"/>
      <w:marLeft w:val="0"/>
      <w:marRight w:val="0"/>
      <w:marTop w:val="0"/>
      <w:marBottom w:val="0"/>
      <w:divBdr>
        <w:top w:val="none" w:sz="0" w:space="0" w:color="auto"/>
        <w:left w:val="none" w:sz="0" w:space="0" w:color="auto"/>
        <w:bottom w:val="none" w:sz="0" w:space="0" w:color="auto"/>
        <w:right w:val="none" w:sz="0" w:space="0" w:color="auto"/>
      </w:divBdr>
    </w:div>
    <w:div w:id="1541746133">
      <w:bodyDiv w:val="1"/>
      <w:marLeft w:val="0"/>
      <w:marRight w:val="0"/>
      <w:marTop w:val="0"/>
      <w:marBottom w:val="0"/>
      <w:divBdr>
        <w:top w:val="none" w:sz="0" w:space="0" w:color="auto"/>
        <w:left w:val="none" w:sz="0" w:space="0" w:color="auto"/>
        <w:bottom w:val="none" w:sz="0" w:space="0" w:color="auto"/>
        <w:right w:val="none" w:sz="0" w:space="0" w:color="auto"/>
      </w:divBdr>
    </w:div>
    <w:div w:id="1590387107">
      <w:bodyDiv w:val="1"/>
      <w:marLeft w:val="0"/>
      <w:marRight w:val="0"/>
      <w:marTop w:val="0"/>
      <w:marBottom w:val="0"/>
      <w:divBdr>
        <w:top w:val="none" w:sz="0" w:space="0" w:color="auto"/>
        <w:left w:val="none" w:sz="0" w:space="0" w:color="auto"/>
        <w:bottom w:val="none" w:sz="0" w:space="0" w:color="auto"/>
        <w:right w:val="none" w:sz="0" w:space="0" w:color="auto"/>
      </w:divBdr>
    </w:div>
    <w:div w:id="1788233456">
      <w:bodyDiv w:val="1"/>
      <w:marLeft w:val="0"/>
      <w:marRight w:val="0"/>
      <w:marTop w:val="0"/>
      <w:marBottom w:val="0"/>
      <w:divBdr>
        <w:top w:val="none" w:sz="0" w:space="0" w:color="auto"/>
        <w:left w:val="none" w:sz="0" w:space="0" w:color="auto"/>
        <w:bottom w:val="none" w:sz="0" w:space="0" w:color="auto"/>
        <w:right w:val="none" w:sz="0" w:space="0" w:color="auto"/>
      </w:divBdr>
    </w:div>
    <w:div w:id="1823307554">
      <w:bodyDiv w:val="1"/>
      <w:marLeft w:val="0"/>
      <w:marRight w:val="0"/>
      <w:marTop w:val="0"/>
      <w:marBottom w:val="0"/>
      <w:divBdr>
        <w:top w:val="none" w:sz="0" w:space="0" w:color="auto"/>
        <w:left w:val="none" w:sz="0" w:space="0" w:color="auto"/>
        <w:bottom w:val="none" w:sz="0" w:space="0" w:color="auto"/>
        <w:right w:val="none" w:sz="0" w:space="0" w:color="auto"/>
      </w:divBdr>
    </w:div>
    <w:div w:id="1849440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35C15EF-8C37-443B-9C75-B724F43F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5004</TotalTime>
  <Pages>11</Pages>
  <Words>4415</Words>
  <Characters>24288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Cielo Natalia Londoño Vela</cp:lastModifiedBy>
  <cp:revision>466</cp:revision>
  <cp:lastPrinted>2017-02-23T16:56:00Z</cp:lastPrinted>
  <dcterms:created xsi:type="dcterms:W3CDTF">2019-04-11T14:39:00Z</dcterms:created>
  <dcterms:modified xsi:type="dcterms:W3CDTF">2019-10-04T19:12:00Z</dcterms:modified>
</cp:coreProperties>
</file>