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972" w:rsidRPr="003C58A7" w:rsidRDefault="00873972" w:rsidP="00B41CB3">
      <w:pPr>
        <w:jc w:val="center"/>
        <w:rPr>
          <w:rFonts w:ascii="Verdana" w:hAnsi="Verdana"/>
          <w:b/>
          <w:sz w:val="22"/>
          <w:szCs w:val="20"/>
        </w:rPr>
      </w:pPr>
      <w:r w:rsidRPr="003C58A7">
        <w:rPr>
          <w:rFonts w:ascii="Verdana" w:hAnsi="Verdana"/>
          <w:b/>
          <w:sz w:val="22"/>
          <w:szCs w:val="20"/>
        </w:rPr>
        <w:t>AGENCIA PRESIDENCIAL DE COOPERACIÓN INTERNACIONAL</w:t>
      </w:r>
    </w:p>
    <w:p w:rsidR="00DF3B93" w:rsidRPr="003C58A7" w:rsidRDefault="00873972" w:rsidP="00DF3B93">
      <w:pPr>
        <w:jc w:val="center"/>
        <w:rPr>
          <w:rFonts w:ascii="Verdana" w:hAnsi="Verdana"/>
          <w:b/>
          <w:sz w:val="22"/>
          <w:szCs w:val="20"/>
        </w:rPr>
      </w:pPr>
      <w:r w:rsidRPr="003C58A7">
        <w:rPr>
          <w:rFonts w:ascii="Verdana" w:hAnsi="Verdana"/>
          <w:b/>
          <w:sz w:val="22"/>
          <w:szCs w:val="20"/>
        </w:rPr>
        <w:t xml:space="preserve">Ejecución presupuestal a </w:t>
      </w:r>
      <w:r w:rsidR="00B25704" w:rsidRPr="003C58A7">
        <w:rPr>
          <w:rFonts w:ascii="Verdana" w:hAnsi="Verdana"/>
          <w:b/>
          <w:sz w:val="22"/>
          <w:szCs w:val="20"/>
        </w:rPr>
        <w:t>31</w:t>
      </w:r>
      <w:r w:rsidR="00784A24" w:rsidRPr="003C58A7">
        <w:rPr>
          <w:rFonts w:ascii="Verdana" w:hAnsi="Verdana"/>
          <w:b/>
          <w:sz w:val="22"/>
          <w:szCs w:val="20"/>
        </w:rPr>
        <w:t xml:space="preserve"> de </w:t>
      </w:r>
      <w:r w:rsidR="00DF3B93">
        <w:rPr>
          <w:rFonts w:ascii="Verdana" w:hAnsi="Verdana"/>
          <w:b/>
          <w:sz w:val="22"/>
          <w:szCs w:val="20"/>
        </w:rPr>
        <w:t>enero</w:t>
      </w:r>
      <w:r w:rsidR="001645D6" w:rsidRPr="003C58A7">
        <w:rPr>
          <w:rFonts w:ascii="Verdana" w:hAnsi="Verdana"/>
          <w:b/>
          <w:sz w:val="22"/>
          <w:szCs w:val="20"/>
        </w:rPr>
        <w:t xml:space="preserve"> </w:t>
      </w:r>
      <w:r w:rsidR="003A11C2">
        <w:rPr>
          <w:rFonts w:ascii="Verdana" w:hAnsi="Verdana"/>
          <w:b/>
          <w:sz w:val="22"/>
          <w:szCs w:val="20"/>
        </w:rPr>
        <w:t xml:space="preserve">de </w:t>
      </w:r>
      <w:r w:rsidR="00DF3B93">
        <w:rPr>
          <w:rFonts w:ascii="Verdana" w:hAnsi="Verdana"/>
          <w:b/>
          <w:sz w:val="22"/>
          <w:szCs w:val="20"/>
        </w:rPr>
        <w:t>2020</w:t>
      </w:r>
    </w:p>
    <w:p w:rsidR="00873972" w:rsidRPr="003C58A7" w:rsidRDefault="00873972" w:rsidP="00B41CB3">
      <w:pPr>
        <w:rPr>
          <w:rFonts w:ascii="Verdana" w:hAnsi="Verdana"/>
          <w:sz w:val="22"/>
          <w:szCs w:val="20"/>
        </w:rPr>
      </w:pPr>
    </w:p>
    <w:tbl>
      <w:tblPr>
        <w:tblStyle w:val="Tablaconcuadrcula"/>
        <w:tblW w:w="0" w:type="auto"/>
        <w:tblLook w:val="04A0" w:firstRow="1" w:lastRow="0" w:firstColumn="1" w:lastColumn="0" w:noHBand="0" w:noVBand="1"/>
      </w:tblPr>
      <w:tblGrid>
        <w:gridCol w:w="6644"/>
        <w:gridCol w:w="6634"/>
      </w:tblGrid>
      <w:tr w:rsidR="00796CA4" w:rsidRPr="003C58A7" w:rsidTr="00FC7A61">
        <w:tc>
          <w:tcPr>
            <w:tcW w:w="0" w:type="auto"/>
            <w:shd w:val="clear" w:color="auto" w:fill="auto"/>
          </w:tcPr>
          <w:p w:rsidR="00873972" w:rsidRPr="003C58A7" w:rsidRDefault="00873972" w:rsidP="00B41CB3">
            <w:pPr>
              <w:jc w:val="center"/>
              <w:rPr>
                <w:rFonts w:ascii="Verdana" w:hAnsi="Verdana"/>
                <w:b/>
                <w:sz w:val="22"/>
                <w:szCs w:val="20"/>
              </w:rPr>
            </w:pPr>
            <w:r w:rsidRPr="003C58A7">
              <w:rPr>
                <w:rFonts w:ascii="Verdana" w:hAnsi="Verdana"/>
                <w:b/>
                <w:sz w:val="22"/>
                <w:szCs w:val="20"/>
              </w:rPr>
              <w:t>C</w:t>
            </w:r>
            <w:r w:rsidR="00B71B75" w:rsidRPr="003C58A7">
              <w:rPr>
                <w:rFonts w:ascii="Verdana" w:hAnsi="Verdana"/>
                <w:b/>
                <w:sz w:val="22"/>
                <w:szCs w:val="20"/>
              </w:rPr>
              <w:t>ompromisos</w:t>
            </w:r>
          </w:p>
        </w:tc>
        <w:tc>
          <w:tcPr>
            <w:tcW w:w="0" w:type="auto"/>
            <w:shd w:val="clear" w:color="auto" w:fill="auto"/>
          </w:tcPr>
          <w:p w:rsidR="00873972" w:rsidRPr="003C58A7" w:rsidRDefault="00873972" w:rsidP="00B41CB3">
            <w:pPr>
              <w:jc w:val="center"/>
              <w:rPr>
                <w:rFonts w:ascii="Verdana" w:hAnsi="Verdana"/>
                <w:b/>
                <w:sz w:val="22"/>
                <w:szCs w:val="20"/>
              </w:rPr>
            </w:pPr>
            <w:r w:rsidRPr="003C58A7">
              <w:rPr>
                <w:rFonts w:ascii="Verdana" w:hAnsi="Verdana"/>
                <w:b/>
                <w:sz w:val="22"/>
                <w:szCs w:val="20"/>
              </w:rPr>
              <w:t>O</w:t>
            </w:r>
            <w:r w:rsidR="00B71B75" w:rsidRPr="003C58A7">
              <w:rPr>
                <w:rFonts w:ascii="Verdana" w:hAnsi="Verdana"/>
                <w:b/>
                <w:sz w:val="22"/>
                <w:szCs w:val="20"/>
              </w:rPr>
              <w:t>bligaciones</w:t>
            </w:r>
          </w:p>
        </w:tc>
      </w:tr>
      <w:tr w:rsidR="00796CA4" w:rsidRPr="003C58A7" w:rsidTr="00FC7A61">
        <w:trPr>
          <w:trHeight w:val="43"/>
        </w:trPr>
        <w:tc>
          <w:tcPr>
            <w:tcW w:w="0" w:type="auto"/>
            <w:shd w:val="clear" w:color="auto" w:fill="auto"/>
            <w:vAlign w:val="center"/>
          </w:tcPr>
          <w:p w:rsidR="00A67EEC" w:rsidRPr="003C58A7" w:rsidRDefault="00A67EEC" w:rsidP="00A67EEC">
            <w:pPr>
              <w:jc w:val="both"/>
              <w:rPr>
                <w:rFonts w:ascii="Verdana" w:hAnsi="Verdana"/>
                <w:sz w:val="20"/>
                <w:szCs w:val="20"/>
              </w:rPr>
            </w:pPr>
            <w:r w:rsidRPr="003C58A7">
              <w:rPr>
                <w:rFonts w:ascii="Verdana" w:hAnsi="Verdana"/>
                <w:b/>
                <w:sz w:val="20"/>
                <w:szCs w:val="20"/>
              </w:rPr>
              <w:t>Indicador:</w:t>
            </w:r>
            <w:r w:rsidRPr="003C58A7">
              <w:rPr>
                <w:rFonts w:ascii="Verdana" w:hAnsi="Verdana"/>
                <w:sz w:val="20"/>
                <w:szCs w:val="20"/>
              </w:rPr>
              <w:t xml:space="preserve"> Ejecución Compromisos / Apropiación Vigente.</w:t>
            </w:r>
          </w:p>
          <w:p w:rsidR="00A67EEC" w:rsidRPr="003C58A7" w:rsidRDefault="00784A24" w:rsidP="00A67EEC">
            <w:pPr>
              <w:jc w:val="both"/>
              <w:rPr>
                <w:rFonts w:ascii="Verdana" w:hAnsi="Verdana"/>
                <w:sz w:val="20"/>
                <w:szCs w:val="20"/>
              </w:rPr>
            </w:pPr>
            <w:r w:rsidRPr="003C58A7">
              <w:rPr>
                <w:rFonts w:ascii="Verdana" w:hAnsi="Verdana"/>
                <w:b/>
                <w:sz w:val="20"/>
                <w:szCs w:val="20"/>
              </w:rPr>
              <w:t>Indicador:</w:t>
            </w:r>
            <w:r w:rsidR="00BD2AC2">
              <w:rPr>
                <w:rFonts w:ascii="Verdana" w:hAnsi="Verdana"/>
                <w:sz w:val="20"/>
                <w:szCs w:val="20"/>
              </w:rPr>
              <w:t xml:space="preserve"> </w:t>
            </w:r>
            <w:r w:rsidR="00A37772">
              <w:rPr>
                <w:rFonts w:ascii="Verdana" w:hAnsi="Verdana"/>
                <w:sz w:val="20"/>
                <w:szCs w:val="20"/>
              </w:rPr>
              <w:t>2.</w:t>
            </w:r>
            <w:r w:rsidR="00DF3B93">
              <w:rPr>
                <w:rFonts w:ascii="Verdana" w:hAnsi="Verdana"/>
                <w:sz w:val="20"/>
                <w:szCs w:val="20"/>
              </w:rPr>
              <w:t>840</w:t>
            </w:r>
            <w:r w:rsidR="00A37772">
              <w:rPr>
                <w:rFonts w:ascii="Verdana" w:hAnsi="Verdana"/>
                <w:sz w:val="20"/>
                <w:szCs w:val="20"/>
              </w:rPr>
              <w:t>,</w:t>
            </w:r>
            <w:r w:rsidR="00DF3B93">
              <w:rPr>
                <w:rFonts w:ascii="Verdana" w:hAnsi="Verdana"/>
                <w:sz w:val="20"/>
                <w:szCs w:val="20"/>
              </w:rPr>
              <w:t>2</w:t>
            </w:r>
            <w:r w:rsidR="00A37772">
              <w:rPr>
                <w:rFonts w:ascii="Verdana" w:hAnsi="Verdana"/>
                <w:sz w:val="20"/>
                <w:szCs w:val="20"/>
              </w:rPr>
              <w:t xml:space="preserve"> </w:t>
            </w:r>
            <w:r w:rsidRPr="003C58A7">
              <w:rPr>
                <w:rFonts w:ascii="Verdana" w:hAnsi="Verdana"/>
                <w:sz w:val="20"/>
                <w:szCs w:val="20"/>
              </w:rPr>
              <w:t>/</w:t>
            </w:r>
            <w:r w:rsidR="00A37772">
              <w:rPr>
                <w:rFonts w:ascii="Verdana" w:hAnsi="Verdana"/>
                <w:sz w:val="20"/>
                <w:szCs w:val="20"/>
              </w:rPr>
              <w:t xml:space="preserve"> </w:t>
            </w:r>
            <w:r w:rsidR="00DF3B93">
              <w:rPr>
                <w:rFonts w:ascii="Verdana" w:hAnsi="Verdana"/>
                <w:sz w:val="20"/>
                <w:szCs w:val="20"/>
              </w:rPr>
              <w:t>62.956,0</w:t>
            </w:r>
            <w:r w:rsidRPr="003C58A7">
              <w:rPr>
                <w:rFonts w:ascii="Verdana" w:hAnsi="Verdana"/>
                <w:sz w:val="20"/>
                <w:szCs w:val="20"/>
              </w:rPr>
              <w:t xml:space="preserve"> </w:t>
            </w:r>
            <w:r w:rsidR="00BD2AC2">
              <w:rPr>
                <w:rFonts w:ascii="Verdana" w:hAnsi="Verdana"/>
                <w:sz w:val="20"/>
                <w:szCs w:val="20"/>
              </w:rPr>
              <w:t xml:space="preserve">= </w:t>
            </w:r>
            <w:r w:rsidR="002A3D8F">
              <w:rPr>
                <w:rFonts w:ascii="Verdana" w:hAnsi="Verdana"/>
                <w:sz w:val="20"/>
                <w:szCs w:val="20"/>
              </w:rPr>
              <w:t>4,51</w:t>
            </w:r>
            <w:r w:rsidR="00A67EEC" w:rsidRPr="003C58A7">
              <w:rPr>
                <w:rFonts w:ascii="Verdana" w:hAnsi="Verdana"/>
                <w:sz w:val="20"/>
                <w:szCs w:val="20"/>
              </w:rPr>
              <w:t>%.</w:t>
            </w:r>
          </w:p>
          <w:p w:rsidR="00A67EEC" w:rsidRPr="003C58A7" w:rsidRDefault="00A67EEC" w:rsidP="00A67EEC">
            <w:pPr>
              <w:jc w:val="both"/>
              <w:rPr>
                <w:rFonts w:ascii="Verdana" w:hAnsi="Verdana"/>
                <w:sz w:val="20"/>
                <w:szCs w:val="20"/>
              </w:rPr>
            </w:pPr>
          </w:p>
          <w:p w:rsidR="00BF5C4B" w:rsidRDefault="00A67EEC" w:rsidP="006D212E">
            <w:pPr>
              <w:jc w:val="both"/>
              <w:rPr>
                <w:rFonts w:ascii="Verdana" w:hAnsi="Verdana"/>
                <w:sz w:val="20"/>
                <w:szCs w:val="20"/>
              </w:rPr>
            </w:pPr>
            <w:r w:rsidRPr="003C58A7">
              <w:rPr>
                <w:rFonts w:ascii="Verdana" w:hAnsi="Verdana"/>
                <w:sz w:val="20"/>
                <w:szCs w:val="20"/>
              </w:rPr>
              <w:t xml:space="preserve">Con corte al </w:t>
            </w:r>
            <w:r w:rsidR="00586E06" w:rsidRPr="003C58A7">
              <w:rPr>
                <w:rFonts w:ascii="Verdana" w:hAnsi="Verdana"/>
                <w:sz w:val="20"/>
                <w:szCs w:val="20"/>
              </w:rPr>
              <w:t xml:space="preserve">31 de </w:t>
            </w:r>
            <w:r w:rsidR="009005D4">
              <w:rPr>
                <w:rFonts w:ascii="Verdana" w:hAnsi="Verdana"/>
                <w:sz w:val="20"/>
                <w:szCs w:val="20"/>
              </w:rPr>
              <w:t>enero</w:t>
            </w:r>
            <w:r w:rsidR="00586E06" w:rsidRPr="003C58A7">
              <w:rPr>
                <w:rFonts w:ascii="Verdana" w:hAnsi="Verdana"/>
                <w:sz w:val="20"/>
                <w:szCs w:val="20"/>
              </w:rPr>
              <w:t xml:space="preserve"> </w:t>
            </w:r>
            <w:r w:rsidR="00D807E9">
              <w:rPr>
                <w:rFonts w:ascii="Verdana" w:hAnsi="Verdana"/>
                <w:sz w:val="20"/>
                <w:szCs w:val="20"/>
              </w:rPr>
              <w:t>de 20</w:t>
            </w:r>
            <w:r w:rsidR="002A3D8F">
              <w:rPr>
                <w:rFonts w:ascii="Verdana" w:hAnsi="Verdana"/>
                <w:sz w:val="20"/>
                <w:szCs w:val="20"/>
              </w:rPr>
              <w:t>20</w:t>
            </w:r>
            <w:r w:rsidRPr="003C58A7">
              <w:rPr>
                <w:rFonts w:ascii="Verdana" w:hAnsi="Verdana"/>
                <w:sz w:val="20"/>
                <w:szCs w:val="20"/>
              </w:rPr>
              <w:t xml:space="preserve">, la ejecución presupuestal de la entidad fue del </w:t>
            </w:r>
            <w:r w:rsidR="002A3D8F">
              <w:rPr>
                <w:rFonts w:ascii="Verdana" w:hAnsi="Verdana"/>
                <w:sz w:val="20"/>
                <w:szCs w:val="20"/>
              </w:rPr>
              <w:t>4,51</w:t>
            </w:r>
            <w:r w:rsidRPr="003C58A7">
              <w:rPr>
                <w:rFonts w:ascii="Verdana" w:hAnsi="Verdana"/>
                <w:sz w:val="20"/>
                <w:szCs w:val="20"/>
              </w:rPr>
              <w:t xml:space="preserve">% equivalente a </w:t>
            </w:r>
            <w:r w:rsidR="002A3D8F">
              <w:rPr>
                <w:rFonts w:ascii="Verdana" w:hAnsi="Verdana"/>
                <w:sz w:val="20"/>
                <w:szCs w:val="20"/>
              </w:rPr>
              <w:t>2.840,2</w:t>
            </w:r>
            <w:r w:rsidRPr="003C58A7">
              <w:rPr>
                <w:rFonts w:ascii="Verdana" w:hAnsi="Verdana"/>
                <w:sz w:val="20"/>
                <w:szCs w:val="20"/>
              </w:rPr>
              <w:t xml:space="preserve"> millo</w:t>
            </w:r>
            <w:r w:rsidR="00733F8C" w:rsidRPr="003C58A7">
              <w:rPr>
                <w:rFonts w:ascii="Verdana" w:hAnsi="Verdana"/>
                <w:sz w:val="20"/>
                <w:szCs w:val="20"/>
              </w:rPr>
              <w:t xml:space="preserve">nes, frente a una meta del </w:t>
            </w:r>
            <w:r w:rsidR="002A3D8F">
              <w:rPr>
                <w:rFonts w:ascii="Verdana" w:hAnsi="Verdana"/>
                <w:sz w:val="20"/>
                <w:szCs w:val="20"/>
              </w:rPr>
              <w:t>5,16</w:t>
            </w:r>
            <w:r w:rsidRPr="003C58A7">
              <w:rPr>
                <w:rFonts w:ascii="Verdana" w:hAnsi="Verdana"/>
                <w:sz w:val="20"/>
                <w:szCs w:val="20"/>
              </w:rPr>
              <w:t xml:space="preserve">%, con un déficit de </w:t>
            </w:r>
            <w:r w:rsidR="002A3D8F">
              <w:rPr>
                <w:rFonts w:ascii="Verdana" w:hAnsi="Verdana"/>
                <w:sz w:val="20"/>
                <w:szCs w:val="20"/>
              </w:rPr>
              <w:t>523,5</w:t>
            </w:r>
            <w:r w:rsidR="003725D8" w:rsidRPr="003C58A7">
              <w:rPr>
                <w:rFonts w:ascii="Verdana" w:hAnsi="Verdana"/>
                <w:sz w:val="20"/>
                <w:szCs w:val="20"/>
              </w:rPr>
              <w:t xml:space="preserve"> </w:t>
            </w:r>
            <w:r w:rsidRPr="003C58A7">
              <w:rPr>
                <w:rFonts w:ascii="Verdana" w:hAnsi="Verdana"/>
                <w:sz w:val="20"/>
                <w:szCs w:val="20"/>
              </w:rPr>
              <w:t xml:space="preserve">millones, el cual se explica de la siguiente manera: </w:t>
            </w:r>
            <w:r w:rsidRPr="009331E5">
              <w:rPr>
                <w:rFonts w:ascii="Verdana" w:hAnsi="Verdana"/>
                <w:b/>
                <w:sz w:val="20"/>
                <w:szCs w:val="20"/>
                <w:u w:val="single"/>
              </w:rPr>
              <w:t>A) Gastos de funcionamiento:</w:t>
            </w:r>
            <w:r w:rsidRPr="009331E5">
              <w:rPr>
                <w:rFonts w:ascii="Verdana" w:hAnsi="Verdana"/>
                <w:sz w:val="20"/>
                <w:szCs w:val="20"/>
              </w:rPr>
              <w:t xml:space="preserve"> </w:t>
            </w:r>
            <w:r w:rsidR="000D3FEB" w:rsidRPr="009331E5">
              <w:rPr>
                <w:rFonts w:ascii="Verdana" w:hAnsi="Verdana"/>
                <w:iCs/>
                <w:sz w:val="20"/>
                <w:szCs w:val="20"/>
                <w:lang w:val="es-ES"/>
              </w:rPr>
              <w:t xml:space="preserve">1) </w:t>
            </w:r>
            <w:r w:rsidR="00874665">
              <w:rPr>
                <w:rFonts w:ascii="Verdana" w:hAnsi="Verdana"/>
                <w:iCs/>
                <w:sz w:val="20"/>
                <w:szCs w:val="20"/>
                <w:lang w:val="es-ES"/>
              </w:rPr>
              <w:t>Déficit</w:t>
            </w:r>
            <w:r w:rsidRPr="009331E5">
              <w:rPr>
                <w:rFonts w:ascii="Verdana" w:hAnsi="Verdana"/>
                <w:iCs/>
                <w:sz w:val="20"/>
                <w:szCs w:val="20"/>
                <w:lang w:val="es-ES"/>
              </w:rPr>
              <w:t xml:space="preserve"> en ejecución de</w:t>
            </w:r>
            <w:r w:rsidR="009331E5" w:rsidRPr="009331E5">
              <w:rPr>
                <w:rFonts w:ascii="Verdana" w:hAnsi="Verdana"/>
                <w:iCs/>
                <w:sz w:val="20"/>
                <w:szCs w:val="20"/>
                <w:lang w:val="es-ES"/>
              </w:rPr>
              <w:t xml:space="preserve"> </w:t>
            </w:r>
            <w:r w:rsidR="00874665">
              <w:rPr>
                <w:rFonts w:ascii="Verdana" w:hAnsi="Verdana"/>
                <w:iCs/>
                <w:sz w:val="20"/>
                <w:szCs w:val="20"/>
                <w:lang w:val="es-ES"/>
              </w:rPr>
              <w:t xml:space="preserve">Gastos de Personal </w:t>
            </w:r>
            <w:r w:rsidR="000B4CFF">
              <w:rPr>
                <w:rFonts w:ascii="Verdana" w:hAnsi="Verdana"/>
                <w:iCs/>
                <w:sz w:val="20"/>
                <w:szCs w:val="20"/>
                <w:lang w:val="es-ES"/>
              </w:rPr>
              <w:t xml:space="preserve">por </w:t>
            </w:r>
            <w:r w:rsidR="00874665">
              <w:rPr>
                <w:rFonts w:ascii="Verdana" w:hAnsi="Verdana"/>
                <w:iCs/>
                <w:sz w:val="20"/>
                <w:szCs w:val="20"/>
                <w:lang w:val="es-ES"/>
              </w:rPr>
              <w:t>1,4</w:t>
            </w:r>
            <w:r w:rsidR="009331E5">
              <w:rPr>
                <w:rFonts w:ascii="Verdana" w:hAnsi="Verdana"/>
                <w:iCs/>
                <w:sz w:val="20"/>
                <w:szCs w:val="20"/>
                <w:lang w:val="es-ES"/>
              </w:rPr>
              <w:t xml:space="preserve"> millones,</w:t>
            </w:r>
            <w:r w:rsidR="00874665">
              <w:rPr>
                <w:rFonts w:ascii="Verdana" w:hAnsi="Verdana"/>
                <w:iCs/>
                <w:sz w:val="20"/>
                <w:szCs w:val="20"/>
                <w:lang w:val="es-ES"/>
              </w:rPr>
              <w:t xml:space="preserve"> debido a que la planta de personal de la agencia no se encuentra con su cupo total. </w:t>
            </w:r>
            <w:r w:rsidR="009331E5" w:rsidRPr="009331E5">
              <w:rPr>
                <w:rFonts w:ascii="Verdana" w:hAnsi="Verdana"/>
                <w:iCs/>
                <w:sz w:val="20"/>
                <w:szCs w:val="20"/>
                <w:lang w:val="es-ES"/>
              </w:rPr>
              <w:t>2</w:t>
            </w:r>
            <w:r w:rsidRPr="009331E5">
              <w:rPr>
                <w:rFonts w:ascii="Verdana" w:hAnsi="Verdana"/>
                <w:iCs/>
                <w:sz w:val="20"/>
                <w:szCs w:val="20"/>
                <w:lang w:val="es-ES"/>
              </w:rPr>
              <w:t xml:space="preserve">) </w:t>
            </w:r>
            <w:r w:rsidR="00874665">
              <w:rPr>
                <w:rFonts w:ascii="Verdana" w:hAnsi="Verdana" w:cs="Arial"/>
                <w:sz w:val="20"/>
                <w:szCs w:val="20"/>
              </w:rPr>
              <w:t xml:space="preserve">Superávit </w:t>
            </w:r>
            <w:r w:rsidR="00874665" w:rsidRPr="00902BE7">
              <w:rPr>
                <w:rFonts w:ascii="Verdana" w:hAnsi="Verdana" w:cs="Arial"/>
                <w:sz w:val="20"/>
                <w:szCs w:val="20"/>
              </w:rPr>
              <w:t xml:space="preserve">en adquisición de bienes y servicios por </w:t>
            </w:r>
            <w:r w:rsidR="00470513">
              <w:rPr>
                <w:rFonts w:ascii="Verdana" w:hAnsi="Verdana" w:cs="Arial"/>
                <w:sz w:val="20"/>
                <w:szCs w:val="20"/>
              </w:rPr>
              <w:t>27,5</w:t>
            </w:r>
            <w:r w:rsidR="00874665">
              <w:rPr>
                <w:rFonts w:ascii="Verdana" w:hAnsi="Verdana" w:cs="Arial"/>
                <w:sz w:val="20"/>
                <w:szCs w:val="20"/>
              </w:rPr>
              <w:t xml:space="preserve"> </w:t>
            </w:r>
            <w:r w:rsidR="00874665" w:rsidRPr="00902BE7">
              <w:rPr>
                <w:rFonts w:ascii="Verdana" w:hAnsi="Verdana" w:cs="Arial"/>
                <w:sz w:val="20"/>
                <w:szCs w:val="20"/>
              </w:rPr>
              <w:t>millones,</w:t>
            </w:r>
            <w:r w:rsidR="00874665">
              <w:rPr>
                <w:rFonts w:ascii="Verdana" w:hAnsi="Verdana" w:cs="Arial"/>
                <w:sz w:val="20"/>
                <w:szCs w:val="20"/>
              </w:rPr>
              <w:t xml:space="preserve"> se cumplió la meta.</w:t>
            </w:r>
            <w:r w:rsidR="00470513">
              <w:rPr>
                <w:rFonts w:ascii="Verdana" w:hAnsi="Verdana" w:cs="Arial"/>
                <w:sz w:val="20"/>
                <w:szCs w:val="20"/>
              </w:rPr>
              <w:t xml:space="preserve">3)superávit </w:t>
            </w:r>
            <w:r w:rsidR="00470513" w:rsidRPr="009C75C1">
              <w:rPr>
                <w:rFonts w:ascii="Verdana" w:hAnsi="Verdana" w:cs="Arial"/>
                <w:sz w:val="20"/>
                <w:szCs w:val="20"/>
              </w:rPr>
              <w:t xml:space="preserve">en la ejecución de transferencias corrientes por </w:t>
            </w:r>
            <w:r w:rsidR="00470513">
              <w:rPr>
                <w:rFonts w:ascii="Verdana" w:hAnsi="Verdana" w:cs="Arial"/>
                <w:sz w:val="20"/>
                <w:szCs w:val="20"/>
              </w:rPr>
              <w:t>2,8</w:t>
            </w:r>
            <w:r w:rsidR="00470513" w:rsidRPr="009C75C1">
              <w:rPr>
                <w:rFonts w:ascii="Verdana" w:hAnsi="Verdana" w:cs="Arial"/>
                <w:sz w:val="20"/>
                <w:szCs w:val="20"/>
              </w:rPr>
              <w:t xml:space="preserve"> millones, discriminado así: i) </w:t>
            </w:r>
            <w:r w:rsidR="00470513">
              <w:rPr>
                <w:rFonts w:ascii="Verdana" w:hAnsi="Verdana" w:cs="Arial"/>
                <w:sz w:val="20"/>
                <w:szCs w:val="20"/>
              </w:rPr>
              <w:t>superávit</w:t>
            </w:r>
            <w:r w:rsidR="00470513" w:rsidRPr="0049603A">
              <w:rPr>
                <w:rFonts w:ascii="Verdana" w:hAnsi="Verdana" w:cs="Arial"/>
                <w:sz w:val="20"/>
                <w:szCs w:val="20"/>
              </w:rPr>
              <w:t xml:space="preserve"> de </w:t>
            </w:r>
            <w:r w:rsidR="00470513">
              <w:rPr>
                <w:rFonts w:ascii="Verdana" w:hAnsi="Verdana" w:cs="Arial"/>
                <w:sz w:val="20"/>
                <w:szCs w:val="20"/>
              </w:rPr>
              <w:t>2,8 millones</w:t>
            </w:r>
            <w:r w:rsidR="00470513" w:rsidRPr="003C7488">
              <w:rPr>
                <w:rFonts w:ascii="Verdana" w:hAnsi="Verdana" w:cs="Arial"/>
                <w:sz w:val="20"/>
                <w:szCs w:val="20"/>
              </w:rPr>
              <w:t xml:space="preserve"> de recursos provenientes del FOCAI debido a </w:t>
            </w:r>
            <w:r w:rsidR="00470513">
              <w:rPr>
                <w:rFonts w:ascii="Verdana" w:hAnsi="Verdana" w:cs="Arial"/>
                <w:sz w:val="20"/>
                <w:szCs w:val="20"/>
              </w:rPr>
              <w:t xml:space="preserve">se realizó un actividad </w:t>
            </w:r>
            <w:r w:rsidR="0089644D">
              <w:rPr>
                <w:rFonts w:ascii="Verdana" w:hAnsi="Verdana" w:cs="Arial"/>
                <w:sz w:val="20"/>
                <w:szCs w:val="20"/>
              </w:rPr>
              <w:t xml:space="preserve">prevista </w:t>
            </w:r>
            <w:r w:rsidR="0088042F">
              <w:rPr>
                <w:rFonts w:ascii="Verdana" w:hAnsi="Verdana" w:cs="Arial"/>
                <w:sz w:val="20"/>
                <w:szCs w:val="20"/>
              </w:rPr>
              <w:t xml:space="preserve">para el mes de febrero </w:t>
            </w:r>
            <w:r w:rsidR="00470513">
              <w:rPr>
                <w:rFonts w:ascii="Verdana" w:hAnsi="Verdana" w:cs="Arial"/>
                <w:sz w:val="20"/>
                <w:szCs w:val="20"/>
              </w:rPr>
              <w:t xml:space="preserve">de gastos de viaje </w:t>
            </w:r>
            <w:r w:rsidR="00470513">
              <w:rPr>
                <w:rFonts w:ascii="Verdana" w:hAnsi="Verdana" w:cs="Arial"/>
                <w:sz w:val="20"/>
                <w:szCs w:val="20"/>
              </w:rPr>
              <w:t>ii</w:t>
            </w:r>
            <w:r w:rsidR="00470513" w:rsidRPr="0049603A">
              <w:rPr>
                <w:rFonts w:ascii="Verdana" w:hAnsi="Verdana" w:cs="Arial"/>
                <w:sz w:val="20"/>
                <w:szCs w:val="20"/>
              </w:rPr>
              <w:t xml:space="preserve">) </w:t>
            </w:r>
            <w:r w:rsidR="009E3D48">
              <w:rPr>
                <w:rFonts w:ascii="Verdana" w:hAnsi="Verdana" w:cs="Arial"/>
                <w:sz w:val="20"/>
                <w:szCs w:val="20"/>
              </w:rPr>
              <w:t xml:space="preserve">se </w:t>
            </w:r>
            <w:r w:rsidR="00C9243D">
              <w:rPr>
                <w:rFonts w:ascii="Verdana" w:hAnsi="Verdana" w:cs="Arial"/>
                <w:sz w:val="20"/>
                <w:szCs w:val="20"/>
              </w:rPr>
              <w:t>cumplió</w:t>
            </w:r>
            <w:r w:rsidR="009E3D48">
              <w:rPr>
                <w:rFonts w:ascii="Verdana" w:hAnsi="Verdana" w:cs="Arial"/>
                <w:sz w:val="20"/>
                <w:szCs w:val="20"/>
              </w:rPr>
              <w:t xml:space="preserve"> la meta por 115,</w:t>
            </w:r>
            <w:r w:rsidR="00470513">
              <w:rPr>
                <w:rFonts w:ascii="Verdana" w:hAnsi="Verdana" w:cs="Arial"/>
                <w:sz w:val="20"/>
                <w:szCs w:val="20"/>
              </w:rPr>
              <w:t xml:space="preserve"> </w:t>
            </w:r>
            <w:r w:rsidR="009E3D48">
              <w:rPr>
                <w:rFonts w:ascii="Verdana" w:hAnsi="Verdana" w:cs="Arial"/>
                <w:sz w:val="20"/>
                <w:szCs w:val="20"/>
              </w:rPr>
              <w:t>pesos del rubro</w:t>
            </w:r>
            <w:r w:rsidR="00470513">
              <w:rPr>
                <w:rFonts w:ascii="Verdana" w:hAnsi="Verdana" w:cs="Arial"/>
                <w:sz w:val="20"/>
                <w:szCs w:val="20"/>
              </w:rPr>
              <w:t xml:space="preserve"> de incapacidades y licencias de maternidad</w:t>
            </w:r>
            <w:r w:rsidR="00D9392B">
              <w:rPr>
                <w:rFonts w:ascii="Verdana" w:hAnsi="Verdana" w:cs="Arial"/>
                <w:sz w:val="20"/>
                <w:szCs w:val="20"/>
              </w:rPr>
              <w:t>,</w:t>
            </w:r>
            <w:r w:rsidR="00470513">
              <w:rPr>
                <w:rFonts w:ascii="Verdana" w:hAnsi="Verdana" w:cs="Arial"/>
                <w:sz w:val="20"/>
                <w:szCs w:val="20"/>
              </w:rPr>
              <w:t xml:space="preserve"> </w:t>
            </w:r>
            <w:r w:rsidR="009E3D48">
              <w:rPr>
                <w:rFonts w:ascii="Verdana" w:hAnsi="Verdana" w:cs="Arial"/>
                <w:sz w:val="20"/>
                <w:szCs w:val="20"/>
              </w:rPr>
              <w:t xml:space="preserve">aunque </w:t>
            </w:r>
            <w:r w:rsidR="00470513">
              <w:rPr>
                <w:rFonts w:ascii="Verdana" w:hAnsi="Verdana" w:cs="Arial"/>
                <w:sz w:val="20"/>
                <w:szCs w:val="20"/>
              </w:rPr>
              <w:t>este rubro</w:t>
            </w:r>
            <w:r w:rsidR="009E3D48">
              <w:rPr>
                <w:rFonts w:ascii="Verdana" w:hAnsi="Verdana" w:cs="Arial"/>
                <w:sz w:val="20"/>
                <w:szCs w:val="20"/>
              </w:rPr>
              <w:t xml:space="preserve"> es </w:t>
            </w:r>
            <w:r w:rsidR="00470513">
              <w:rPr>
                <w:rFonts w:ascii="Verdana" w:hAnsi="Verdana" w:cs="Arial"/>
                <w:sz w:val="20"/>
                <w:szCs w:val="20"/>
              </w:rPr>
              <w:t xml:space="preserve"> </w:t>
            </w:r>
            <w:r w:rsidR="00C9243D">
              <w:rPr>
                <w:rFonts w:ascii="Verdana" w:hAnsi="Verdana" w:cs="Arial"/>
                <w:sz w:val="20"/>
                <w:szCs w:val="20"/>
              </w:rPr>
              <w:t>variable</w:t>
            </w:r>
            <w:r w:rsidR="00470513">
              <w:rPr>
                <w:rFonts w:ascii="Verdana" w:hAnsi="Verdana" w:cs="Arial"/>
                <w:sz w:val="20"/>
                <w:szCs w:val="20"/>
              </w:rPr>
              <w:t xml:space="preserve"> según las incapacidades y licencias que radican el talento humano</w:t>
            </w:r>
            <w:r w:rsidR="00874665">
              <w:rPr>
                <w:rFonts w:ascii="Verdana" w:hAnsi="Verdana" w:cs="Arial"/>
                <w:sz w:val="20"/>
                <w:szCs w:val="20"/>
              </w:rPr>
              <w:t xml:space="preserve"> </w:t>
            </w:r>
            <w:r w:rsidRPr="000E3954">
              <w:rPr>
                <w:rFonts w:ascii="Verdana" w:hAnsi="Verdana"/>
                <w:b/>
                <w:sz w:val="20"/>
                <w:szCs w:val="20"/>
                <w:u w:val="single"/>
              </w:rPr>
              <w:t>B) Gastos de inversión:</w:t>
            </w:r>
            <w:r w:rsidRPr="000E3954">
              <w:rPr>
                <w:rFonts w:ascii="Verdana" w:hAnsi="Verdana"/>
                <w:sz w:val="20"/>
                <w:szCs w:val="20"/>
              </w:rPr>
              <w:t xml:space="preserve"> 1) La ejecución en inversión tiene déficit de </w:t>
            </w:r>
            <w:r w:rsidR="00C9243D">
              <w:rPr>
                <w:rFonts w:ascii="Verdana" w:hAnsi="Verdana"/>
                <w:sz w:val="20"/>
                <w:szCs w:val="20"/>
              </w:rPr>
              <w:t>408,5</w:t>
            </w:r>
            <w:r w:rsidR="00ED1593" w:rsidRPr="000E3954">
              <w:rPr>
                <w:rFonts w:ascii="Verdana" w:hAnsi="Verdana"/>
                <w:sz w:val="20"/>
                <w:szCs w:val="20"/>
              </w:rPr>
              <w:t xml:space="preserve"> millones debido a </w:t>
            </w:r>
            <w:r w:rsidR="004D5B1A">
              <w:rPr>
                <w:rFonts w:ascii="Verdana" w:hAnsi="Verdana"/>
                <w:sz w:val="20"/>
                <w:szCs w:val="20"/>
              </w:rPr>
              <w:t xml:space="preserve">que </w:t>
            </w:r>
            <w:r w:rsidR="00BF5C4B">
              <w:rPr>
                <w:rFonts w:ascii="Verdana" w:hAnsi="Verdana"/>
                <w:sz w:val="20"/>
                <w:szCs w:val="20"/>
              </w:rPr>
              <w:t>cuando se</w:t>
            </w:r>
            <w:r w:rsidR="004D5B1A">
              <w:rPr>
                <w:rFonts w:ascii="Verdana" w:hAnsi="Verdana"/>
                <w:sz w:val="20"/>
                <w:szCs w:val="20"/>
              </w:rPr>
              <w:t xml:space="preserve"> </w:t>
            </w:r>
            <w:r w:rsidR="00BF5C4B">
              <w:rPr>
                <w:rFonts w:ascii="Verdana" w:hAnsi="Verdana"/>
                <w:sz w:val="20"/>
                <w:szCs w:val="20"/>
              </w:rPr>
              <w:t xml:space="preserve">tramito el contrato de pólizas para el proyecto de  Howard Buffet el tercero adjudicado realizo un descuento del valor total del contrato, debido a este descuento el valor </w:t>
            </w:r>
            <w:r w:rsidR="00D9392B">
              <w:rPr>
                <w:rFonts w:ascii="Verdana" w:hAnsi="Verdana"/>
                <w:sz w:val="20"/>
                <w:szCs w:val="20"/>
              </w:rPr>
              <w:t xml:space="preserve">registrado </w:t>
            </w:r>
            <w:r w:rsidR="00BF5C4B">
              <w:rPr>
                <w:rFonts w:ascii="Verdana" w:hAnsi="Verdana"/>
                <w:sz w:val="20"/>
                <w:szCs w:val="20"/>
              </w:rPr>
              <w:t>fue menor de lo presupuestado.</w:t>
            </w:r>
          </w:p>
          <w:p w:rsidR="00E279ED" w:rsidRDefault="00E279ED" w:rsidP="006D212E">
            <w:pPr>
              <w:jc w:val="both"/>
              <w:rPr>
                <w:rFonts w:ascii="Verdana" w:hAnsi="Verdana"/>
                <w:sz w:val="20"/>
                <w:szCs w:val="20"/>
              </w:rPr>
            </w:pPr>
          </w:p>
          <w:p w:rsidR="00464CE7" w:rsidRDefault="00E279ED" w:rsidP="00A67EEC">
            <w:pPr>
              <w:jc w:val="both"/>
              <w:rPr>
                <w:rFonts w:ascii="Verdana" w:hAnsi="Verdana"/>
                <w:sz w:val="20"/>
                <w:szCs w:val="20"/>
                <w:highlight w:val="yellow"/>
              </w:rPr>
            </w:pPr>
            <w:r w:rsidRPr="00A41A2D">
              <w:rPr>
                <w:rFonts w:ascii="Verdana" w:hAnsi="Verdana"/>
                <w:sz w:val="20"/>
              </w:rPr>
              <w:t xml:space="preserve">El </w:t>
            </w:r>
            <w:r w:rsidR="003A6701">
              <w:rPr>
                <w:rFonts w:ascii="Verdana" w:hAnsi="Verdana"/>
                <w:sz w:val="20"/>
              </w:rPr>
              <w:t>47,95</w:t>
            </w:r>
            <w:r w:rsidRPr="00A41A2D">
              <w:rPr>
                <w:rFonts w:ascii="Verdana" w:hAnsi="Verdana"/>
                <w:sz w:val="20"/>
              </w:rPr>
              <w:t xml:space="preserve">% de la ejecución corresponde a los gastos de funcionamiento y el </w:t>
            </w:r>
            <w:r w:rsidR="003A6701">
              <w:rPr>
                <w:rFonts w:ascii="Verdana" w:hAnsi="Verdana"/>
                <w:sz w:val="20"/>
              </w:rPr>
              <w:t>52,05</w:t>
            </w:r>
            <w:r w:rsidRPr="00A41A2D">
              <w:rPr>
                <w:rFonts w:ascii="Verdana" w:hAnsi="Verdana"/>
                <w:sz w:val="20"/>
              </w:rPr>
              <w:t>% a los gastos de inversión.</w:t>
            </w:r>
          </w:p>
          <w:p w:rsidR="00E279ED" w:rsidRPr="004D5B1A" w:rsidRDefault="00E279ED" w:rsidP="00A67EEC">
            <w:pPr>
              <w:jc w:val="both"/>
              <w:rPr>
                <w:rFonts w:ascii="Verdana" w:hAnsi="Verdana"/>
                <w:sz w:val="20"/>
                <w:szCs w:val="20"/>
                <w:highlight w:val="yellow"/>
              </w:rPr>
            </w:pPr>
          </w:p>
          <w:p w:rsidR="00A67EEC" w:rsidRPr="004D5B1A" w:rsidRDefault="00A67EEC" w:rsidP="00A67EEC">
            <w:pPr>
              <w:jc w:val="both"/>
              <w:rPr>
                <w:rFonts w:ascii="Verdana" w:hAnsi="Verdana"/>
                <w:sz w:val="20"/>
                <w:szCs w:val="20"/>
              </w:rPr>
            </w:pPr>
            <w:r w:rsidRPr="004D5B1A">
              <w:rPr>
                <w:rFonts w:ascii="Verdana" w:hAnsi="Verdana"/>
                <w:sz w:val="20"/>
                <w:szCs w:val="20"/>
              </w:rPr>
              <w:t xml:space="preserve">La ejecución de los gastos de funcionamiento estuvo distribuida de la siguiente manera: </w:t>
            </w:r>
          </w:p>
          <w:p w:rsidR="00A67EEC" w:rsidRPr="009B7746" w:rsidRDefault="00A67EEC" w:rsidP="00A67EEC">
            <w:pPr>
              <w:jc w:val="both"/>
              <w:rPr>
                <w:rFonts w:ascii="Verdana" w:hAnsi="Verdana"/>
                <w:sz w:val="20"/>
                <w:szCs w:val="20"/>
                <w:highlight w:val="yellow"/>
              </w:rPr>
            </w:pPr>
          </w:p>
          <w:p w:rsidR="00A2238C" w:rsidRPr="000139BE" w:rsidRDefault="00A2238C" w:rsidP="00A2238C">
            <w:pPr>
              <w:jc w:val="both"/>
              <w:rPr>
                <w:rFonts w:ascii="Verdana" w:hAnsi="Verdana" w:cs="Arial"/>
                <w:sz w:val="20"/>
                <w:szCs w:val="20"/>
              </w:rPr>
            </w:pPr>
            <w:r w:rsidRPr="000139BE">
              <w:rPr>
                <w:rFonts w:ascii="Verdana" w:hAnsi="Verdana" w:cs="Arial"/>
                <w:sz w:val="20"/>
                <w:szCs w:val="20"/>
              </w:rPr>
              <w:t xml:space="preserve">1) Los gastos de personal representan el </w:t>
            </w:r>
            <w:r>
              <w:rPr>
                <w:rFonts w:ascii="Verdana" w:hAnsi="Verdana" w:cs="Arial"/>
                <w:sz w:val="20"/>
                <w:szCs w:val="20"/>
              </w:rPr>
              <w:t>48,78</w:t>
            </w:r>
            <w:r w:rsidRPr="000139BE">
              <w:rPr>
                <w:rFonts w:ascii="Verdana" w:hAnsi="Verdana" w:cs="Arial"/>
                <w:sz w:val="20"/>
                <w:szCs w:val="20"/>
              </w:rPr>
              <w:t>%.</w:t>
            </w:r>
          </w:p>
          <w:p w:rsidR="00A2238C" w:rsidRDefault="00A2238C" w:rsidP="00A2238C">
            <w:pPr>
              <w:jc w:val="both"/>
              <w:rPr>
                <w:rFonts w:ascii="Verdana" w:hAnsi="Verdana" w:cs="Arial"/>
                <w:sz w:val="20"/>
                <w:szCs w:val="20"/>
              </w:rPr>
            </w:pPr>
            <w:r w:rsidRPr="000139BE">
              <w:rPr>
                <w:rFonts w:ascii="Verdana" w:hAnsi="Verdana" w:cs="Arial"/>
                <w:sz w:val="20"/>
                <w:szCs w:val="20"/>
              </w:rPr>
              <w:lastRenderedPageBreak/>
              <w:t xml:space="preserve">2) Los gastos por adquisición de bienes y servicios representan el </w:t>
            </w:r>
            <w:r>
              <w:rPr>
                <w:rFonts w:ascii="Verdana" w:hAnsi="Verdana" w:cs="Arial"/>
                <w:sz w:val="20"/>
                <w:szCs w:val="20"/>
              </w:rPr>
              <w:t>51,00</w:t>
            </w:r>
            <w:r w:rsidRPr="000139BE">
              <w:rPr>
                <w:rFonts w:ascii="Verdana" w:hAnsi="Verdana" w:cs="Arial"/>
                <w:sz w:val="20"/>
                <w:szCs w:val="20"/>
              </w:rPr>
              <w:t>%.</w:t>
            </w:r>
          </w:p>
          <w:p w:rsidR="00A2238C" w:rsidRPr="000139BE" w:rsidRDefault="00A2238C" w:rsidP="00A2238C">
            <w:pPr>
              <w:jc w:val="both"/>
              <w:rPr>
                <w:rFonts w:ascii="Verdana" w:hAnsi="Verdana" w:cs="Arial"/>
                <w:sz w:val="20"/>
                <w:szCs w:val="20"/>
              </w:rPr>
            </w:pPr>
          </w:p>
          <w:p w:rsidR="00A2238C" w:rsidRPr="000139BE" w:rsidRDefault="00A2238C" w:rsidP="00A2238C">
            <w:pPr>
              <w:jc w:val="both"/>
              <w:rPr>
                <w:rFonts w:ascii="Verdana" w:hAnsi="Verdana" w:cs="Arial"/>
                <w:sz w:val="20"/>
                <w:szCs w:val="20"/>
              </w:rPr>
            </w:pPr>
            <w:r w:rsidRPr="000139BE">
              <w:rPr>
                <w:rFonts w:ascii="Verdana" w:hAnsi="Verdana" w:cs="Arial"/>
                <w:sz w:val="20"/>
                <w:szCs w:val="20"/>
              </w:rPr>
              <w:t xml:space="preserve">3) Los gastos de transferencias corrientes representan el </w:t>
            </w:r>
            <w:r>
              <w:rPr>
                <w:rFonts w:ascii="Verdana" w:hAnsi="Verdana" w:cs="Arial"/>
                <w:sz w:val="20"/>
                <w:szCs w:val="20"/>
              </w:rPr>
              <w:t>0,22</w:t>
            </w:r>
            <w:r w:rsidRPr="000139BE">
              <w:rPr>
                <w:rFonts w:ascii="Verdana" w:hAnsi="Verdana" w:cs="Arial"/>
                <w:sz w:val="20"/>
                <w:szCs w:val="20"/>
              </w:rPr>
              <w:t xml:space="preserve">%, el </w:t>
            </w:r>
            <w:r>
              <w:rPr>
                <w:rFonts w:ascii="Verdana" w:hAnsi="Verdana" w:cs="Arial"/>
                <w:sz w:val="20"/>
                <w:szCs w:val="20"/>
              </w:rPr>
              <w:t>0,21</w:t>
            </w:r>
            <w:r w:rsidRPr="000139BE">
              <w:rPr>
                <w:rFonts w:ascii="Verdana" w:hAnsi="Verdana" w:cs="Arial"/>
                <w:sz w:val="20"/>
                <w:szCs w:val="20"/>
              </w:rPr>
              <w:t>% correspondientes a gastos del Fondo de Cooperación y Asistencia Internacional – FOCAI Y el 0,</w:t>
            </w:r>
            <w:r>
              <w:rPr>
                <w:rFonts w:ascii="Verdana" w:hAnsi="Verdana" w:cs="Arial"/>
                <w:sz w:val="20"/>
                <w:szCs w:val="20"/>
              </w:rPr>
              <w:t>01</w:t>
            </w:r>
            <w:r w:rsidRPr="000139BE">
              <w:rPr>
                <w:rFonts w:ascii="Verdana" w:hAnsi="Verdana" w:cs="Arial"/>
                <w:sz w:val="20"/>
                <w:szCs w:val="20"/>
              </w:rPr>
              <w:t>% a Incapacidades y Licencias de maternidad y paternidad.</w:t>
            </w:r>
          </w:p>
          <w:p w:rsidR="00A67EEC" w:rsidRPr="009B7746" w:rsidRDefault="00A67EEC" w:rsidP="00A67EEC">
            <w:pPr>
              <w:jc w:val="both"/>
              <w:rPr>
                <w:rFonts w:ascii="Verdana" w:hAnsi="Verdana"/>
                <w:sz w:val="20"/>
                <w:szCs w:val="20"/>
                <w:highlight w:val="yellow"/>
              </w:rPr>
            </w:pPr>
          </w:p>
          <w:p w:rsidR="00A67EEC" w:rsidRPr="00B176DD" w:rsidRDefault="00A67EEC" w:rsidP="00A67EEC">
            <w:pPr>
              <w:jc w:val="both"/>
              <w:rPr>
                <w:rFonts w:ascii="Verdana" w:hAnsi="Verdana"/>
                <w:sz w:val="20"/>
                <w:szCs w:val="20"/>
              </w:rPr>
            </w:pPr>
            <w:r w:rsidRPr="00B176DD">
              <w:rPr>
                <w:rFonts w:ascii="Verdana" w:hAnsi="Verdana"/>
                <w:sz w:val="20"/>
                <w:szCs w:val="20"/>
              </w:rPr>
              <w:t xml:space="preserve">La ejecución de los gastos de inversión estuvo distribuida así: </w:t>
            </w:r>
          </w:p>
          <w:p w:rsidR="00A67EEC" w:rsidRPr="009B7746" w:rsidRDefault="00A67EEC" w:rsidP="00A67EEC">
            <w:pPr>
              <w:jc w:val="both"/>
              <w:rPr>
                <w:rFonts w:ascii="Verdana" w:hAnsi="Verdana"/>
                <w:sz w:val="20"/>
                <w:szCs w:val="20"/>
                <w:highlight w:val="yellow"/>
              </w:rPr>
            </w:pPr>
          </w:p>
          <w:p w:rsidR="00A67EEC" w:rsidRPr="00B176DD" w:rsidRDefault="00A67EEC" w:rsidP="00A67EEC">
            <w:pPr>
              <w:jc w:val="both"/>
              <w:rPr>
                <w:rFonts w:ascii="Verdana" w:hAnsi="Verdana"/>
                <w:sz w:val="20"/>
                <w:szCs w:val="20"/>
              </w:rPr>
            </w:pPr>
            <w:r w:rsidRPr="00B176DD">
              <w:rPr>
                <w:rFonts w:ascii="Verdana" w:hAnsi="Verdana"/>
                <w:sz w:val="20"/>
                <w:szCs w:val="20"/>
              </w:rPr>
              <w:t xml:space="preserve">1) Administración de Recursos de Cooperación con el </w:t>
            </w:r>
            <w:r w:rsidR="00A2238C">
              <w:rPr>
                <w:rFonts w:ascii="Verdana" w:hAnsi="Verdana"/>
                <w:sz w:val="20"/>
                <w:szCs w:val="20"/>
              </w:rPr>
              <w:t>99,22</w:t>
            </w:r>
            <w:r w:rsidRPr="00B176DD">
              <w:rPr>
                <w:rFonts w:ascii="Verdana" w:hAnsi="Verdana"/>
                <w:sz w:val="20"/>
                <w:szCs w:val="20"/>
              </w:rPr>
              <w:t xml:space="preserve">% de la ejecución en inversión, equivalente a </w:t>
            </w:r>
            <w:r w:rsidR="00A2238C">
              <w:rPr>
                <w:rFonts w:ascii="Verdana" w:hAnsi="Verdana"/>
                <w:sz w:val="20"/>
                <w:szCs w:val="20"/>
              </w:rPr>
              <w:t>1.466,8</w:t>
            </w:r>
            <w:r w:rsidRPr="00B176DD">
              <w:rPr>
                <w:rFonts w:ascii="Verdana" w:hAnsi="Verdana"/>
                <w:sz w:val="20"/>
                <w:szCs w:val="20"/>
              </w:rPr>
              <w:t xml:space="preserve"> millones, distribuidos así: </w:t>
            </w:r>
          </w:p>
          <w:p w:rsidR="00A67EEC" w:rsidRPr="00B176DD" w:rsidRDefault="00A67EEC" w:rsidP="00A67EEC">
            <w:pPr>
              <w:jc w:val="both"/>
              <w:rPr>
                <w:rFonts w:ascii="Verdana" w:hAnsi="Verdana"/>
                <w:sz w:val="20"/>
                <w:szCs w:val="20"/>
              </w:rPr>
            </w:pPr>
          </w:p>
          <w:p w:rsidR="00A67EEC" w:rsidRDefault="00A2238C" w:rsidP="00A2238C">
            <w:pPr>
              <w:pStyle w:val="Prrafodelista"/>
              <w:numPr>
                <w:ilvl w:val="0"/>
                <w:numId w:val="16"/>
              </w:numPr>
              <w:jc w:val="both"/>
              <w:rPr>
                <w:rFonts w:ascii="Verdana" w:hAnsi="Verdana"/>
                <w:sz w:val="20"/>
                <w:szCs w:val="20"/>
              </w:rPr>
            </w:pPr>
            <w:r>
              <w:rPr>
                <w:rFonts w:ascii="Verdana" w:hAnsi="Verdana"/>
                <w:sz w:val="20"/>
                <w:szCs w:val="20"/>
              </w:rPr>
              <w:t>1.358,3</w:t>
            </w:r>
            <w:r w:rsidR="00D517D1" w:rsidRPr="00A2238C">
              <w:rPr>
                <w:rFonts w:ascii="Verdana" w:hAnsi="Verdana"/>
                <w:sz w:val="20"/>
                <w:szCs w:val="20"/>
              </w:rPr>
              <w:t xml:space="preserve"> </w:t>
            </w:r>
            <w:r w:rsidR="00A67EEC" w:rsidRPr="00A2238C">
              <w:rPr>
                <w:rFonts w:ascii="Verdana" w:hAnsi="Verdana"/>
                <w:sz w:val="20"/>
                <w:szCs w:val="20"/>
              </w:rPr>
              <w:t>millones por cuenta del proyecto de desminado terrestre en el marco del convenio de subvención firmado c</w:t>
            </w:r>
            <w:r w:rsidR="00EA3C52" w:rsidRPr="00A2238C">
              <w:rPr>
                <w:rFonts w:ascii="Verdana" w:hAnsi="Verdana"/>
                <w:sz w:val="20"/>
                <w:szCs w:val="20"/>
              </w:rPr>
              <w:t xml:space="preserve">on la fundación Howard </w:t>
            </w:r>
            <w:r w:rsidRPr="00A2238C">
              <w:rPr>
                <w:rFonts w:ascii="Verdana" w:hAnsi="Verdana"/>
                <w:sz w:val="20"/>
                <w:szCs w:val="20"/>
              </w:rPr>
              <w:t>Buffet</w:t>
            </w:r>
            <w:r w:rsidR="00EA3C52" w:rsidRPr="00A2238C">
              <w:rPr>
                <w:rFonts w:ascii="Verdana" w:hAnsi="Verdana"/>
                <w:sz w:val="20"/>
                <w:szCs w:val="20"/>
              </w:rPr>
              <w:t>.</w:t>
            </w:r>
          </w:p>
          <w:p w:rsidR="00A2238C" w:rsidRDefault="00A2238C" w:rsidP="00A2238C">
            <w:pPr>
              <w:pStyle w:val="Prrafodelista"/>
              <w:numPr>
                <w:ilvl w:val="0"/>
                <w:numId w:val="16"/>
              </w:numPr>
              <w:jc w:val="both"/>
              <w:rPr>
                <w:rFonts w:ascii="Verdana" w:hAnsi="Verdana"/>
                <w:sz w:val="20"/>
                <w:szCs w:val="20"/>
              </w:rPr>
            </w:pPr>
            <w:r>
              <w:rPr>
                <w:rFonts w:ascii="Verdana" w:hAnsi="Verdana"/>
                <w:sz w:val="20"/>
                <w:szCs w:val="20"/>
              </w:rPr>
              <w:t>91,6 millones por cuenta del proyecto Fondo Verde del Clima.</w:t>
            </w:r>
          </w:p>
          <w:p w:rsidR="00A2238C" w:rsidRPr="00A2238C" w:rsidRDefault="00A2238C" w:rsidP="00A2238C">
            <w:pPr>
              <w:pStyle w:val="Prrafodelista"/>
              <w:numPr>
                <w:ilvl w:val="0"/>
                <w:numId w:val="16"/>
              </w:numPr>
              <w:jc w:val="both"/>
              <w:rPr>
                <w:rFonts w:ascii="Verdana" w:hAnsi="Verdana"/>
                <w:sz w:val="20"/>
                <w:szCs w:val="20"/>
              </w:rPr>
            </w:pPr>
            <w:r>
              <w:rPr>
                <w:rFonts w:ascii="Verdana" w:hAnsi="Verdana"/>
                <w:sz w:val="20"/>
                <w:szCs w:val="20"/>
              </w:rPr>
              <w:t>16,8 millones por cuenta del proyecto Koica.</w:t>
            </w:r>
          </w:p>
          <w:p w:rsidR="00A67EEC" w:rsidRPr="009B7746" w:rsidRDefault="00A67EEC" w:rsidP="00A67EEC">
            <w:pPr>
              <w:jc w:val="both"/>
              <w:rPr>
                <w:rFonts w:ascii="Verdana" w:hAnsi="Verdana"/>
                <w:sz w:val="20"/>
                <w:szCs w:val="20"/>
                <w:highlight w:val="yellow"/>
              </w:rPr>
            </w:pPr>
          </w:p>
          <w:p w:rsidR="00D05B51" w:rsidRDefault="00EA3C52" w:rsidP="00F57B74">
            <w:pPr>
              <w:jc w:val="both"/>
              <w:rPr>
                <w:rFonts w:ascii="Verdana" w:hAnsi="Verdana"/>
                <w:sz w:val="20"/>
                <w:szCs w:val="20"/>
              </w:rPr>
            </w:pPr>
            <w:r>
              <w:rPr>
                <w:rFonts w:ascii="Verdana" w:hAnsi="Verdana"/>
                <w:sz w:val="20"/>
                <w:szCs w:val="20"/>
              </w:rPr>
              <w:t>2) F</w:t>
            </w:r>
            <w:r w:rsidRPr="00EA3C52">
              <w:rPr>
                <w:rFonts w:ascii="Verdana" w:hAnsi="Verdana"/>
                <w:sz w:val="20"/>
                <w:szCs w:val="20"/>
              </w:rPr>
              <w:t xml:space="preserve">ortalecimiento de las capacidades tecnológicas de la información en </w:t>
            </w:r>
            <w:r>
              <w:rPr>
                <w:rFonts w:ascii="Verdana" w:hAnsi="Verdana"/>
                <w:sz w:val="20"/>
                <w:szCs w:val="20"/>
              </w:rPr>
              <w:t xml:space="preserve">APC-COLOMBIA, </w:t>
            </w:r>
            <w:r w:rsidRPr="00EA3C52">
              <w:rPr>
                <w:rFonts w:ascii="Verdana" w:hAnsi="Verdana"/>
                <w:sz w:val="20"/>
                <w:szCs w:val="20"/>
              </w:rPr>
              <w:t xml:space="preserve">con </w:t>
            </w:r>
            <w:r w:rsidR="001E22C0" w:rsidRPr="00EA3C52">
              <w:rPr>
                <w:rFonts w:ascii="Verdana" w:hAnsi="Verdana"/>
                <w:sz w:val="20"/>
                <w:szCs w:val="20"/>
              </w:rPr>
              <w:t xml:space="preserve">el </w:t>
            </w:r>
            <w:r w:rsidR="00A2238C">
              <w:rPr>
                <w:rFonts w:ascii="Verdana" w:hAnsi="Verdana"/>
                <w:sz w:val="20"/>
                <w:szCs w:val="20"/>
              </w:rPr>
              <w:t>0,78</w:t>
            </w:r>
            <w:r w:rsidR="00A67EEC" w:rsidRPr="00EA3C52">
              <w:rPr>
                <w:rFonts w:ascii="Verdana" w:hAnsi="Verdana"/>
                <w:sz w:val="20"/>
                <w:szCs w:val="20"/>
              </w:rPr>
              <w:t xml:space="preserve">% de la ejecución en inversión, equivalente a </w:t>
            </w:r>
            <w:r w:rsidR="00A2238C">
              <w:rPr>
                <w:rFonts w:ascii="Verdana" w:hAnsi="Verdana"/>
                <w:sz w:val="20"/>
                <w:szCs w:val="20"/>
              </w:rPr>
              <w:t>11,6</w:t>
            </w:r>
            <w:r w:rsidR="00A67EEC" w:rsidRPr="00EA3C52">
              <w:rPr>
                <w:rFonts w:ascii="Verdana" w:hAnsi="Verdana"/>
                <w:sz w:val="20"/>
                <w:szCs w:val="20"/>
              </w:rPr>
              <w:t xml:space="preserve"> millones </w:t>
            </w:r>
            <w:r w:rsidR="00F57B74">
              <w:rPr>
                <w:rFonts w:ascii="Verdana" w:hAnsi="Verdana"/>
                <w:sz w:val="20"/>
                <w:szCs w:val="20"/>
              </w:rPr>
              <w:t xml:space="preserve">para </w:t>
            </w:r>
            <w:r w:rsidR="00FB5CFF">
              <w:rPr>
                <w:rFonts w:ascii="Verdana" w:hAnsi="Verdana"/>
                <w:sz w:val="20"/>
                <w:szCs w:val="20"/>
              </w:rPr>
              <w:t xml:space="preserve">el </w:t>
            </w:r>
            <w:r w:rsidR="00A67EEC" w:rsidRPr="00EA3C52">
              <w:rPr>
                <w:rFonts w:ascii="Verdana" w:hAnsi="Verdana"/>
                <w:sz w:val="20"/>
                <w:szCs w:val="20"/>
              </w:rPr>
              <w:t>servicio</w:t>
            </w:r>
            <w:r w:rsidR="00FB5CFF">
              <w:rPr>
                <w:rFonts w:ascii="Verdana" w:hAnsi="Verdana"/>
                <w:sz w:val="20"/>
                <w:szCs w:val="20"/>
              </w:rPr>
              <w:t xml:space="preserve"> </w:t>
            </w:r>
            <w:bookmarkStart w:id="0" w:name="_GoBack"/>
            <w:bookmarkEnd w:id="0"/>
            <w:r w:rsidR="00E9136D">
              <w:rPr>
                <w:rFonts w:ascii="Verdana" w:hAnsi="Verdana"/>
                <w:sz w:val="20"/>
                <w:szCs w:val="20"/>
              </w:rPr>
              <w:t xml:space="preserve">profesional </w:t>
            </w:r>
            <w:r w:rsidR="00E9136D" w:rsidRPr="00EA3C52">
              <w:rPr>
                <w:rFonts w:ascii="Verdana" w:hAnsi="Verdana"/>
                <w:sz w:val="20"/>
                <w:szCs w:val="20"/>
              </w:rPr>
              <w:t>para</w:t>
            </w:r>
            <w:r w:rsidR="00A67EEC" w:rsidRPr="00EA3C52">
              <w:rPr>
                <w:rFonts w:ascii="Verdana" w:hAnsi="Verdana"/>
                <w:sz w:val="20"/>
                <w:szCs w:val="20"/>
              </w:rPr>
              <w:t xml:space="preserve"> la gestión del proye</w:t>
            </w:r>
            <w:r>
              <w:rPr>
                <w:rFonts w:ascii="Verdana" w:hAnsi="Verdana"/>
                <w:sz w:val="20"/>
                <w:szCs w:val="20"/>
              </w:rPr>
              <w:t>cto.</w:t>
            </w:r>
            <w:r w:rsidR="00A67EEC" w:rsidRPr="00EA3C52">
              <w:rPr>
                <w:rFonts w:ascii="Verdana" w:hAnsi="Verdana"/>
                <w:sz w:val="20"/>
                <w:szCs w:val="20"/>
              </w:rPr>
              <w:t xml:space="preserve"> </w:t>
            </w:r>
          </w:p>
          <w:p w:rsidR="00F57B74" w:rsidRPr="003C58A7" w:rsidRDefault="00F57B74" w:rsidP="00F57B74">
            <w:pPr>
              <w:jc w:val="both"/>
              <w:rPr>
                <w:rFonts w:ascii="Verdana" w:hAnsi="Verdana"/>
                <w:sz w:val="20"/>
                <w:szCs w:val="20"/>
              </w:rPr>
            </w:pPr>
          </w:p>
        </w:tc>
        <w:tc>
          <w:tcPr>
            <w:tcW w:w="0" w:type="auto"/>
            <w:shd w:val="clear" w:color="auto" w:fill="auto"/>
            <w:vAlign w:val="center"/>
          </w:tcPr>
          <w:p w:rsidR="00A67EEC" w:rsidRPr="009B7746" w:rsidRDefault="00A67EEC" w:rsidP="00A67EEC">
            <w:pPr>
              <w:jc w:val="both"/>
              <w:rPr>
                <w:rFonts w:ascii="Verdana" w:hAnsi="Verdana"/>
                <w:sz w:val="20"/>
                <w:szCs w:val="20"/>
              </w:rPr>
            </w:pPr>
            <w:r w:rsidRPr="009B7746">
              <w:rPr>
                <w:rFonts w:ascii="Verdana" w:hAnsi="Verdana"/>
                <w:b/>
                <w:sz w:val="20"/>
                <w:szCs w:val="20"/>
              </w:rPr>
              <w:lastRenderedPageBreak/>
              <w:t>Indicador:</w:t>
            </w:r>
            <w:r w:rsidRPr="009B7746">
              <w:rPr>
                <w:rFonts w:ascii="Verdana" w:hAnsi="Verdana"/>
                <w:sz w:val="20"/>
                <w:szCs w:val="20"/>
              </w:rPr>
              <w:t xml:space="preserve"> Ejecución Obligaciones / Apropiación Vigente.</w:t>
            </w:r>
          </w:p>
          <w:p w:rsidR="00A67EEC" w:rsidRPr="009B7746" w:rsidRDefault="00A67EEC" w:rsidP="00A67EEC">
            <w:pPr>
              <w:jc w:val="both"/>
              <w:rPr>
                <w:rFonts w:ascii="Verdana" w:hAnsi="Verdana"/>
                <w:sz w:val="20"/>
                <w:szCs w:val="20"/>
              </w:rPr>
            </w:pPr>
            <w:r w:rsidRPr="009B7746">
              <w:rPr>
                <w:rFonts w:ascii="Verdana" w:hAnsi="Verdana"/>
                <w:b/>
                <w:sz w:val="20"/>
                <w:szCs w:val="20"/>
              </w:rPr>
              <w:t>Indicador:</w:t>
            </w:r>
            <w:r w:rsidRPr="009B7746">
              <w:rPr>
                <w:rFonts w:ascii="Verdana" w:hAnsi="Verdana"/>
                <w:sz w:val="20"/>
                <w:szCs w:val="20"/>
              </w:rPr>
              <w:t xml:space="preserve"> </w:t>
            </w:r>
            <w:r w:rsidR="00E70862" w:rsidRPr="009B7746">
              <w:rPr>
                <w:rFonts w:ascii="Verdana" w:hAnsi="Verdana"/>
                <w:sz w:val="20"/>
                <w:szCs w:val="20"/>
              </w:rPr>
              <w:t>8</w:t>
            </w:r>
            <w:r w:rsidR="00681998">
              <w:rPr>
                <w:rFonts w:ascii="Verdana" w:hAnsi="Verdana"/>
                <w:sz w:val="20"/>
                <w:szCs w:val="20"/>
              </w:rPr>
              <w:t>85</w:t>
            </w:r>
            <w:r w:rsidR="00E70862" w:rsidRPr="009B7746">
              <w:rPr>
                <w:rFonts w:ascii="Verdana" w:hAnsi="Verdana"/>
                <w:sz w:val="20"/>
                <w:szCs w:val="20"/>
              </w:rPr>
              <w:t>,</w:t>
            </w:r>
            <w:r w:rsidR="00681998">
              <w:rPr>
                <w:rFonts w:ascii="Verdana" w:hAnsi="Verdana"/>
                <w:sz w:val="20"/>
                <w:szCs w:val="20"/>
              </w:rPr>
              <w:t>7</w:t>
            </w:r>
            <w:r w:rsidR="00E70862" w:rsidRPr="009B7746">
              <w:rPr>
                <w:rFonts w:ascii="Verdana" w:hAnsi="Verdana"/>
                <w:sz w:val="20"/>
                <w:szCs w:val="20"/>
              </w:rPr>
              <w:t xml:space="preserve"> </w:t>
            </w:r>
            <w:r w:rsidRPr="009B7746">
              <w:rPr>
                <w:rFonts w:ascii="Verdana" w:hAnsi="Verdana"/>
                <w:sz w:val="20"/>
                <w:szCs w:val="20"/>
              </w:rPr>
              <w:t xml:space="preserve">/ </w:t>
            </w:r>
            <w:r w:rsidR="00681998">
              <w:rPr>
                <w:rFonts w:ascii="Verdana" w:hAnsi="Verdana"/>
                <w:sz w:val="20"/>
                <w:szCs w:val="20"/>
              </w:rPr>
              <w:t>62.956,0</w:t>
            </w:r>
            <w:r w:rsidR="00E70862" w:rsidRPr="009B7746">
              <w:rPr>
                <w:rFonts w:ascii="Verdana" w:hAnsi="Verdana"/>
                <w:sz w:val="20"/>
                <w:szCs w:val="20"/>
              </w:rPr>
              <w:t xml:space="preserve"> </w:t>
            </w:r>
            <w:r w:rsidRPr="009B7746">
              <w:rPr>
                <w:rFonts w:ascii="Verdana" w:hAnsi="Verdana"/>
                <w:sz w:val="20"/>
                <w:szCs w:val="20"/>
              </w:rPr>
              <w:t xml:space="preserve">= </w:t>
            </w:r>
            <w:r w:rsidR="00681998">
              <w:rPr>
                <w:rFonts w:ascii="Verdana" w:hAnsi="Verdana"/>
                <w:sz w:val="20"/>
                <w:szCs w:val="20"/>
              </w:rPr>
              <w:t>1,41</w:t>
            </w:r>
            <w:r w:rsidRPr="009B7746">
              <w:rPr>
                <w:rFonts w:ascii="Verdana" w:hAnsi="Verdana"/>
                <w:sz w:val="20"/>
                <w:szCs w:val="20"/>
              </w:rPr>
              <w:t>%.</w:t>
            </w:r>
          </w:p>
          <w:p w:rsidR="00A67EEC" w:rsidRPr="00EE79B7" w:rsidRDefault="00A67EEC" w:rsidP="00A67EEC">
            <w:pPr>
              <w:jc w:val="both"/>
              <w:rPr>
                <w:rFonts w:ascii="Verdana" w:hAnsi="Verdana"/>
                <w:sz w:val="20"/>
                <w:szCs w:val="20"/>
              </w:rPr>
            </w:pPr>
          </w:p>
          <w:p w:rsidR="00E279ED" w:rsidRDefault="00A67EEC" w:rsidP="00A67EEC">
            <w:pPr>
              <w:jc w:val="both"/>
              <w:rPr>
                <w:rFonts w:ascii="Verdana" w:hAnsi="Verdana"/>
                <w:sz w:val="20"/>
                <w:szCs w:val="20"/>
              </w:rPr>
            </w:pPr>
            <w:r w:rsidRPr="00EE79B7">
              <w:rPr>
                <w:rFonts w:ascii="Verdana" w:hAnsi="Verdana"/>
                <w:sz w:val="20"/>
                <w:szCs w:val="20"/>
              </w:rPr>
              <w:t xml:space="preserve">Con corte al </w:t>
            </w:r>
            <w:r w:rsidR="00BB21DD" w:rsidRPr="00EE79B7">
              <w:rPr>
                <w:rFonts w:ascii="Verdana" w:hAnsi="Verdana"/>
                <w:sz w:val="20"/>
                <w:szCs w:val="20"/>
              </w:rPr>
              <w:t xml:space="preserve">31 de </w:t>
            </w:r>
            <w:r w:rsidR="00EE79B7" w:rsidRPr="00EE79B7">
              <w:rPr>
                <w:rFonts w:ascii="Verdana" w:hAnsi="Verdana"/>
                <w:sz w:val="20"/>
                <w:szCs w:val="20"/>
              </w:rPr>
              <w:t>enero</w:t>
            </w:r>
            <w:r w:rsidR="00BB21DD" w:rsidRPr="00EE79B7">
              <w:rPr>
                <w:rFonts w:ascii="Verdana" w:hAnsi="Verdana"/>
                <w:sz w:val="20"/>
                <w:szCs w:val="20"/>
              </w:rPr>
              <w:t xml:space="preserve"> </w:t>
            </w:r>
            <w:r w:rsidR="00EE79B7" w:rsidRPr="00EE79B7">
              <w:rPr>
                <w:rFonts w:ascii="Verdana" w:hAnsi="Verdana"/>
                <w:sz w:val="20"/>
                <w:szCs w:val="20"/>
              </w:rPr>
              <w:t>de 20</w:t>
            </w:r>
            <w:r w:rsidR="00681998">
              <w:rPr>
                <w:rFonts w:ascii="Verdana" w:hAnsi="Verdana"/>
                <w:sz w:val="20"/>
                <w:szCs w:val="20"/>
              </w:rPr>
              <w:t>20</w:t>
            </w:r>
            <w:r w:rsidRPr="00EE79B7">
              <w:rPr>
                <w:rFonts w:ascii="Verdana" w:hAnsi="Verdana"/>
                <w:sz w:val="20"/>
                <w:szCs w:val="20"/>
              </w:rPr>
              <w:t xml:space="preserve">, la ejecución presupuestal de la entidad en materia de obligaciones fue del </w:t>
            </w:r>
            <w:r w:rsidR="00681998">
              <w:rPr>
                <w:rFonts w:ascii="Verdana" w:hAnsi="Verdana"/>
                <w:sz w:val="20"/>
                <w:szCs w:val="20"/>
              </w:rPr>
              <w:t>1,41</w:t>
            </w:r>
            <w:r w:rsidRPr="00EE79B7">
              <w:rPr>
                <w:rFonts w:ascii="Verdana" w:hAnsi="Verdana"/>
                <w:sz w:val="20"/>
                <w:szCs w:val="20"/>
              </w:rPr>
              <w:t xml:space="preserve">% equivalente a </w:t>
            </w:r>
            <w:r w:rsidR="00681998">
              <w:rPr>
                <w:rFonts w:ascii="Verdana" w:hAnsi="Verdana"/>
                <w:sz w:val="20"/>
                <w:szCs w:val="20"/>
              </w:rPr>
              <w:t>885,7</w:t>
            </w:r>
            <w:r w:rsidRPr="00EE79B7">
              <w:rPr>
                <w:rFonts w:ascii="Verdana" w:hAnsi="Verdana"/>
                <w:sz w:val="20"/>
                <w:szCs w:val="20"/>
              </w:rPr>
              <w:t xml:space="preserve"> millones, frente a una meta del </w:t>
            </w:r>
            <w:r w:rsidR="00681998">
              <w:rPr>
                <w:rFonts w:ascii="Verdana" w:hAnsi="Verdana"/>
                <w:sz w:val="20"/>
                <w:szCs w:val="20"/>
              </w:rPr>
              <w:t>1,42</w:t>
            </w:r>
            <w:r w:rsidRPr="00EE79B7">
              <w:rPr>
                <w:rFonts w:ascii="Verdana" w:hAnsi="Verdana"/>
                <w:sz w:val="20"/>
                <w:szCs w:val="20"/>
              </w:rPr>
              <w:t xml:space="preserve">%, con un déficit de </w:t>
            </w:r>
            <w:r w:rsidR="00681998">
              <w:rPr>
                <w:rFonts w:ascii="Verdana" w:hAnsi="Verdana"/>
                <w:sz w:val="20"/>
                <w:szCs w:val="20"/>
              </w:rPr>
              <w:t>0,6</w:t>
            </w:r>
            <w:r w:rsidR="000756F0">
              <w:rPr>
                <w:rFonts w:ascii="Verdana" w:hAnsi="Verdana"/>
                <w:sz w:val="20"/>
                <w:szCs w:val="20"/>
              </w:rPr>
              <w:t xml:space="preserve"> </w:t>
            </w:r>
            <w:r w:rsidRPr="00EE79B7">
              <w:rPr>
                <w:rFonts w:ascii="Verdana" w:hAnsi="Verdana"/>
                <w:sz w:val="20"/>
                <w:szCs w:val="20"/>
              </w:rPr>
              <w:t xml:space="preserve">millones, el cual se explica así: </w:t>
            </w:r>
            <w:r w:rsidRPr="00A516EE">
              <w:rPr>
                <w:rFonts w:ascii="Verdana" w:hAnsi="Verdana"/>
                <w:b/>
                <w:sz w:val="20"/>
                <w:szCs w:val="20"/>
              </w:rPr>
              <w:t>A) Gastos de funcionamiento:</w:t>
            </w:r>
            <w:r w:rsidRPr="00A516EE">
              <w:rPr>
                <w:rFonts w:ascii="Verdana" w:hAnsi="Verdana"/>
                <w:sz w:val="20"/>
                <w:szCs w:val="20"/>
              </w:rPr>
              <w:t xml:space="preserve"> </w:t>
            </w:r>
            <w:r w:rsidR="00681998" w:rsidRPr="00C55089">
              <w:rPr>
                <w:rFonts w:ascii="Verdana" w:hAnsi="Verdana" w:cs="Arial"/>
                <w:sz w:val="20"/>
                <w:szCs w:val="20"/>
                <w:lang w:val="es-CO"/>
              </w:rPr>
              <w:t xml:space="preserve">1) </w:t>
            </w:r>
            <w:r w:rsidR="00681998">
              <w:rPr>
                <w:rFonts w:ascii="Verdana" w:hAnsi="Verdana" w:cs="Arial"/>
                <w:sz w:val="20"/>
                <w:szCs w:val="20"/>
                <w:lang w:val="es-CO"/>
              </w:rPr>
              <w:t>Déficit</w:t>
            </w:r>
            <w:r w:rsidR="00681998" w:rsidRPr="00C55089">
              <w:rPr>
                <w:rFonts w:ascii="Verdana" w:hAnsi="Verdana" w:cs="Arial"/>
                <w:sz w:val="20"/>
                <w:szCs w:val="20"/>
                <w:lang w:val="es-CO"/>
              </w:rPr>
              <w:t xml:space="preserve">  en la ejecución de gastos de personal por </w:t>
            </w:r>
            <w:r w:rsidR="00681998">
              <w:rPr>
                <w:rFonts w:ascii="Verdana" w:hAnsi="Verdana" w:cs="Arial"/>
                <w:sz w:val="20"/>
                <w:szCs w:val="20"/>
                <w:lang w:val="es-CO"/>
              </w:rPr>
              <w:t>1,4</w:t>
            </w:r>
            <w:r w:rsidR="00681998" w:rsidRPr="00C55089">
              <w:rPr>
                <w:rFonts w:ascii="Verdana" w:hAnsi="Verdana" w:cs="Arial"/>
                <w:sz w:val="20"/>
                <w:szCs w:val="20"/>
                <w:lang w:val="es-CO"/>
              </w:rPr>
              <w:t xml:space="preserve"> millones, </w:t>
            </w:r>
            <w:r w:rsidR="00681998" w:rsidRPr="00693F58">
              <w:rPr>
                <w:rFonts w:ascii="Verdana" w:hAnsi="Verdana" w:cs="Arial"/>
                <w:sz w:val="20"/>
                <w:szCs w:val="20"/>
              </w:rPr>
              <w:t>debido a que la Planta de personal no se ocupó en su totalidad</w:t>
            </w:r>
            <w:r w:rsidR="00681998">
              <w:rPr>
                <w:rFonts w:ascii="Verdana" w:hAnsi="Verdana" w:cs="Arial"/>
                <w:sz w:val="20"/>
                <w:szCs w:val="20"/>
              </w:rPr>
              <w:t xml:space="preserve"> </w:t>
            </w:r>
            <w:r w:rsidR="00681998">
              <w:rPr>
                <w:rFonts w:ascii="Verdana" w:hAnsi="Verdana" w:cs="Arial"/>
                <w:sz w:val="20"/>
                <w:szCs w:val="20"/>
              </w:rPr>
              <w:t>en el mes de enero</w:t>
            </w:r>
            <w:r w:rsidR="00681998">
              <w:rPr>
                <w:rFonts w:ascii="Verdana" w:hAnsi="Verdana" w:cs="Arial"/>
                <w:sz w:val="20"/>
                <w:szCs w:val="20"/>
              </w:rPr>
              <w:t>.</w:t>
            </w:r>
            <w:r w:rsidR="00681998" w:rsidRPr="00C55089">
              <w:rPr>
                <w:rFonts w:ascii="Verdana" w:hAnsi="Verdana" w:cs="Arial"/>
                <w:sz w:val="20"/>
                <w:szCs w:val="20"/>
                <w:lang w:val="es-CO"/>
              </w:rPr>
              <w:t xml:space="preserve">2) </w:t>
            </w:r>
            <w:r w:rsidR="00681998">
              <w:rPr>
                <w:rFonts w:ascii="Verdana" w:hAnsi="Verdana" w:cs="Arial"/>
                <w:sz w:val="20"/>
                <w:szCs w:val="20"/>
                <w:lang w:val="es-CO"/>
              </w:rPr>
              <w:t>Déficit</w:t>
            </w:r>
            <w:r w:rsidR="00681998" w:rsidRPr="00C55089">
              <w:rPr>
                <w:rFonts w:ascii="Verdana" w:hAnsi="Verdana" w:cs="Arial"/>
                <w:sz w:val="20"/>
                <w:szCs w:val="20"/>
                <w:lang w:val="es-CO"/>
              </w:rPr>
              <w:t xml:space="preserve"> en la ejecución de adquisición de bienes y servicios por </w:t>
            </w:r>
            <w:r w:rsidR="00681998">
              <w:rPr>
                <w:rFonts w:ascii="Verdana" w:hAnsi="Verdana" w:cs="Arial"/>
                <w:sz w:val="20"/>
                <w:szCs w:val="20"/>
                <w:lang w:val="es-CO"/>
              </w:rPr>
              <w:t>7,4</w:t>
            </w:r>
            <w:r w:rsidR="00681998">
              <w:rPr>
                <w:rFonts w:ascii="Verdana" w:hAnsi="Verdana" w:cs="Arial"/>
                <w:sz w:val="20"/>
                <w:szCs w:val="20"/>
                <w:lang w:val="es-CO"/>
              </w:rPr>
              <w:t xml:space="preserve"> millones</w:t>
            </w:r>
            <w:r w:rsidR="00681998" w:rsidRPr="00C55089">
              <w:rPr>
                <w:rFonts w:ascii="Verdana" w:hAnsi="Verdana" w:cs="Arial"/>
                <w:sz w:val="20"/>
                <w:szCs w:val="20"/>
                <w:lang w:val="es-CO"/>
              </w:rPr>
              <w:t xml:space="preserve">, </w:t>
            </w:r>
            <w:r w:rsidR="00EE1371">
              <w:rPr>
                <w:rFonts w:ascii="Verdana" w:hAnsi="Verdana" w:cs="Arial"/>
                <w:sz w:val="20"/>
                <w:szCs w:val="20"/>
                <w:lang w:val="es-CO"/>
              </w:rPr>
              <w:t xml:space="preserve">debido que no se tramito la </w:t>
            </w:r>
            <w:r w:rsidR="00EE1371" w:rsidRPr="0088042F">
              <w:rPr>
                <w:rFonts w:ascii="Verdana" w:hAnsi="Verdana" w:cs="Arial"/>
                <w:sz w:val="20"/>
                <w:szCs w:val="20"/>
                <w:lang w:val="es-CO"/>
              </w:rPr>
              <w:t>factura</w:t>
            </w:r>
            <w:r w:rsidR="00F17535" w:rsidRPr="0088042F">
              <w:rPr>
                <w:rFonts w:ascii="Verdana" w:hAnsi="Verdana" w:cs="Arial"/>
                <w:sz w:val="20"/>
                <w:szCs w:val="20"/>
                <w:lang w:val="es-CO"/>
              </w:rPr>
              <w:t xml:space="preserve"> de UNE EPM </w:t>
            </w:r>
            <w:r w:rsidR="008C3868" w:rsidRPr="0088042F">
              <w:rPr>
                <w:rFonts w:ascii="Verdana" w:hAnsi="Verdana" w:cs="Arial"/>
                <w:sz w:val="20"/>
                <w:szCs w:val="20"/>
                <w:lang w:val="es-CO"/>
              </w:rPr>
              <w:t xml:space="preserve"> </w:t>
            </w:r>
            <w:r w:rsidR="00F17535" w:rsidRPr="0088042F">
              <w:rPr>
                <w:rFonts w:ascii="Verdana" w:hAnsi="Verdana" w:cs="Arial"/>
                <w:sz w:val="20"/>
                <w:szCs w:val="20"/>
                <w:lang w:val="es-CO"/>
              </w:rPr>
              <w:t>que se tenía prevista para el mes de enero por que se paga mes vencido</w:t>
            </w:r>
            <w:r w:rsidR="00681998" w:rsidRPr="0088042F">
              <w:rPr>
                <w:rFonts w:ascii="Verdana" w:hAnsi="Verdana" w:cs="Arial"/>
                <w:sz w:val="20"/>
                <w:szCs w:val="20"/>
                <w:lang w:val="es-CO"/>
              </w:rPr>
              <w:t>;</w:t>
            </w:r>
            <w:r w:rsidR="00681998" w:rsidRPr="00C55089">
              <w:rPr>
                <w:rFonts w:ascii="Verdana" w:hAnsi="Verdana" w:cs="Arial"/>
                <w:sz w:val="20"/>
                <w:szCs w:val="20"/>
                <w:lang w:val="es-CO"/>
              </w:rPr>
              <w:t xml:space="preserve">3) </w:t>
            </w:r>
            <w:r w:rsidR="00681998">
              <w:rPr>
                <w:rFonts w:ascii="Verdana" w:hAnsi="Verdana" w:cs="Arial"/>
                <w:sz w:val="20"/>
                <w:szCs w:val="20"/>
                <w:lang w:val="es-CO"/>
              </w:rPr>
              <w:t>E</w:t>
            </w:r>
            <w:r w:rsidR="00681998" w:rsidRPr="00C55089">
              <w:rPr>
                <w:rFonts w:ascii="Verdana" w:hAnsi="Verdana" w:cs="Arial"/>
                <w:sz w:val="20"/>
                <w:szCs w:val="20"/>
                <w:lang w:val="es-CO"/>
              </w:rPr>
              <w:t>n la ejecución de transferencia</w:t>
            </w:r>
            <w:r w:rsidR="00681998">
              <w:rPr>
                <w:rFonts w:ascii="Verdana" w:hAnsi="Verdana" w:cs="Arial"/>
                <w:sz w:val="20"/>
                <w:szCs w:val="20"/>
                <w:lang w:val="es-CO"/>
              </w:rPr>
              <w:t xml:space="preserve">s </w:t>
            </w:r>
            <w:r w:rsidR="00681998" w:rsidRPr="00C55089">
              <w:rPr>
                <w:rFonts w:ascii="Verdana" w:hAnsi="Verdana" w:cs="Arial"/>
                <w:sz w:val="20"/>
                <w:szCs w:val="20"/>
                <w:lang w:val="es-CO"/>
              </w:rPr>
              <w:t>corrientes</w:t>
            </w:r>
            <w:r w:rsidR="00681998">
              <w:rPr>
                <w:rFonts w:ascii="Verdana" w:hAnsi="Verdana" w:cs="Arial"/>
                <w:sz w:val="20"/>
                <w:szCs w:val="20"/>
                <w:lang w:val="es-CO"/>
              </w:rPr>
              <w:t xml:space="preserve"> se presentó un </w:t>
            </w:r>
            <w:r w:rsidR="008E21DE">
              <w:rPr>
                <w:rFonts w:ascii="Verdana" w:hAnsi="Verdana" w:cs="Arial"/>
                <w:sz w:val="20"/>
                <w:szCs w:val="20"/>
                <w:lang w:val="es-CO"/>
              </w:rPr>
              <w:t>superávit</w:t>
            </w:r>
            <w:r w:rsidR="00681998">
              <w:rPr>
                <w:rFonts w:ascii="Verdana" w:hAnsi="Verdana" w:cs="Arial"/>
                <w:sz w:val="20"/>
                <w:szCs w:val="20"/>
                <w:lang w:val="es-CO"/>
              </w:rPr>
              <w:t xml:space="preserve"> por </w:t>
            </w:r>
            <w:r w:rsidR="008E21DE">
              <w:rPr>
                <w:rFonts w:ascii="Verdana" w:hAnsi="Verdana" w:cs="Arial"/>
                <w:sz w:val="20"/>
                <w:szCs w:val="20"/>
                <w:lang w:val="es-CO"/>
              </w:rPr>
              <w:t>2</w:t>
            </w:r>
            <w:r w:rsidR="00681998">
              <w:rPr>
                <w:rFonts w:ascii="Verdana" w:hAnsi="Verdana" w:cs="Arial"/>
                <w:sz w:val="20"/>
                <w:szCs w:val="20"/>
                <w:lang w:val="es-CO"/>
              </w:rPr>
              <w:t>,</w:t>
            </w:r>
            <w:r w:rsidR="008E21DE">
              <w:rPr>
                <w:rFonts w:ascii="Verdana" w:hAnsi="Verdana" w:cs="Arial"/>
                <w:sz w:val="20"/>
                <w:szCs w:val="20"/>
                <w:lang w:val="es-CO"/>
              </w:rPr>
              <w:t>8</w:t>
            </w:r>
            <w:r w:rsidR="00681998">
              <w:rPr>
                <w:rFonts w:ascii="Verdana" w:hAnsi="Verdana" w:cs="Arial"/>
                <w:sz w:val="20"/>
                <w:szCs w:val="20"/>
                <w:lang w:val="es-CO"/>
              </w:rPr>
              <w:t xml:space="preserve"> millones </w:t>
            </w:r>
            <w:r w:rsidR="008E21DE">
              <w:rPr>
                <w:rFonts w:ascii="Verdana" w:hAnsi="Verdana" w:cs="Arial"/>
                <w:sz w:val="20"/>
                <w:szCs w:val="20"/>
              </w:rPr>
              <w:t>discriminado así: i)</w:t>
            </w:r>
            <w:r w:rsidR="008E21DE">
              <w:rPr>
                <w:rFonts w:ascii="Verdana" w:hAnsi="Verdana" w:cs="Arial"/>
                <w:sz w:val="20"/>
                <w:szCs w:val="20"/>
              </w:rPr>
              <w:t>superávit</w:t>
            </w:r>
            <w:r w:rsidR="008E21DE" w:rsidRPr="0049603A">
              <w:rPr>
                <w:rFonts w:ascii="Verdana" w:hAnsi="Verdana" w:cs="Arial"/>
                <w:sz w:val="20"/>
                <w:szCs w:val="20"/>
              </w:rPr>
              <w:t xml:space="preserve"> de </w:t>
            </w:r>
            <w:r w:rsidR="008E21DE">
              <w:rPr>
                <w:rFonts w:ascii="Verdana" w:hAnsi="Verdana" w:cs="Arial"/>
                <w:sz w:val="20"/>
                <w:szCs w:val="20"/>
              </w:rPr>
              <w:t>2,8 millones</w:t>
            </w:r>
            <w:r w:rsidR="008E21DE" w:rsidRPr="003C7488">
              <w:rPr>
                <w:rFonts w:ascii="Verdana" w:hAnsi="Verdana" w:cs="Arial"/>
                <w:sz w:val="20"/>
                <w:szCs w:val="20"/>
              </w:rPr>
              <w:t xml:space="preserve"> de recursos provenientes del FOCAI debido a </w:t>
            </w:r>
            <w:r w:rsidR="008E21DE">
              <w:rPr>
                <w:rFonts w:ascii="Verdana" w:hAnsi="Verdana" w:cs="Arial"/>
                <w:sz w:val="20"/>
                <w:szCs w:val="20"/>
              </w:rPr>
              <w:t xml:space="preserve">se </w:t>
            </w:r>
            <w:r w:rsidR="008E21DE">
              <w:rPr>
                <w:rFonts w:ascii="Verdana" w:hAnsi="Verdana" w:cs="Arial"/>
                <w:sz w:val="20"/>
                <w:szCs w:val="20"/>
              </w:rPr>
              <w:t>realizó el pago</w:t>
            </w:r>
            <w:r w:rsidR="008E21DE">
              <w:rPr>
                <w:rFonts w:ascii="Verdana" w:hAnsi="Verdana" w:cs="Arial"/>
                <w:sz w:val="20"/>
                <w:szCs w:val="20"/>
              </w:rPr>
              <w:t xml:space="preserve"> </w:t>
            </w:r>
            <w:r w:rsidR="0088042F">
              <w:rPr>
                <w:rFonts w:ascii="Verdana" w:hAnsi="Verdana" w:cs="Arial"/>
                <w:sz w:val="20"/>
                <w:szCs w:val="20"/>
              </w:rPr>
              <w:t xml:space="preserve">de </w:t>
            </w:r>
            <w:r w:rsidR="008E21DE">
              <w:rPr>
                <w:rFonts w:ascii="Verdana" w:hAnsi="Verdana" w:cs="Arial"/>
                <w:sz w:val="20"/>
                <w:szCs w:val="20"/>
              </w:rPr>
              <w:t>un</w:t>
            </w:r>
            <w:r w:rsidR="0088042F">
              <w:rPr>
                <w:rFonts w:ascii="Verdana" w:hAnsi="Verdana" w:cs="Arial"/>
                <w:sz w:val="20"/>
                <w:szCs w:val="20"/>
              </w:rPr>
              <w:t>a</w:t>
            </w:r>
            <w:r w:rsidR="008E21DE">
              <w:rPr>
                <w:rFonts w:ascii="Verdana" w:hAnsi="Verdana" w:cs="Arial"/>
                <w:sz w:val="20"/>
                <w:szCs w:val="20"/>
              </w:rPr>
              <w:t xml:space="preserve"> actividad prevista</w:t>
            </w:r>
            <w:r w:rsidR="0088042F">
              <w:rPr>
                <w:rFonts w:ascii="Verdana" w:hAnsi="Verdana" w:cs="Arial"/>
                <w:sz w:val="20"/>
                <w:szCs w:val="20"/>
              </w:rPr>
              <w:t xml:space="preserve"> para el mes de Febrero</w:t>
            </w:r>
            <w:r w:rsidR="008E21DE">
              <w:rPr>
                <w:rFonts w:ascii="Verdana" w:hAnsi="Verdana" w:cs="Arial"/>
                <w:sz w:val="20"/>
                <w:szCs w:val="20"/>
              </w:rPr>
              <w:t xml:space="preserve"> de gastos de viaje</w:t>
            </w:r>
            <w:r w:rsidR="00681998">
              <w:rPr>
                <w:rFonts w:ascii="Verdana" w:hAnsi="Verdana" w:cs="Arial"/>
                <w:sz w:val="20"/>
                <w:szCs w:val="20"/>
              </w:rPr>
              <w:t xml:space="preserve"> ii</w:t>
            </w:r>
            <w:r w:rsidR="00681998" w:rsidRPr="0049603A">
              <w:rPr>
                <w:rFonts w:ascii="Verdana" w:hAnsi="Verdana" w:cs="Arial"/>
                <w:sz w:val="20"/>
                <w:szCs w:val="20"/>
              </w:rPr>
              <w:t xml:space="preserve">) </w:t>
            </w:r>
            <w:r w:rsidR="00681998">
              <w:rPr>
                <w:rFonts w:ascii="Verdana" w:hAnsi="Verdana" w:cs="Arial"/>
                <w:sz w:val="20"/>
                <w:szCs w:val="20"/>
                <w:lang w:val="es-CO"/>
              </w:rPr>
              <w:t xml:space="preserve"> </w:t>
            </w:r>
            <w:r w:rsidR="008E21DE">
              <w:rPr>
                <w:rFonts w:ascii="Verdana" w:hAnsi="Verdana" w:cs="Arial"/>
                <w:sz w:val="20"/>
                <w:szCs w:val="20"/>
              </w:rPr>
              <w:t xml:space="preserve">se </w:t>
            </w:r>
            <w:r w:rsidR="008E21DE">
              <w:rPr>
                <w:rFonts w:ascii="Verdana" w:hAnsi="Verdana" w:cs="Arial"/>
                <w:sz w:val="20"/>
                <w:szCs w:val="20"/>
              </w:rPr>
              <w:t>realizó el pago de</w:t>
            </w:r>
            <w:r w:rsidR="008E21DE">
              <w:rPr>
                <w:rFonts w:ascii="Verdana" w:hAnsi="Verdana" w:cs="Arial"/>
                <w:sz w:val="20"/>
                <w:szCs w:val="20"/>
              </w:rPr>
              <w:t xml:space="preserve"> 115, pesos del rubro de incapacidades y licencias de maternidad aunque este rubro </w:t>
            </w:r>
            <w:r w:rsidR="008E21DE">
              <w:rPr>
                <w:rFonts w:ascii="Verdana" w:hAnsi="Verdana" w:cs="Arial"/>
                <w:sz w:val="20"/>
                <w:szCs w:val="20"/>
              </w:rPr>
              <w:t>varía</w:t>
            </w:r>
            <w:r w:rsidR="008E21DE">
              <w:rPr>
                <w:rFonts w:ascii="Verdana" w:hAnsi="Verdana" w:cs="Arial"/>
                <w:sz w:val="20"/>
                <w:szCs w:val="20"/>
              </w:rPr>
              <w:t xml:space="preserve"> según las incapacidades y licencias que radican el talento humano</w:t>
            </w:r>
            <w:r w:rsidR="00EC78A2" w:rsidRPr="00EC78A2">
              <w:rPr>
                <w:rFonts w:ascii="Verdana" w:hAnsi="Verdana"/>
                <w:iCs/>
                <w:sz w:val="20"/>
                <w:szCs w:val="20"/>
                <w:lang w:val="es-ES"/>
              </w:rPr>
              <w:t xml:space="preserve"> </w:t>
            </w:r>
            <w:r w:rsidR="00A750DC" w:rsidRPr="00182BFD">
              <w:rPr>
                <w:rFonts w:ascii="Verdana" w:hAnsi="Verdana"/>
                <w:b/>
                <w:sz w:val="20"/>
                <w:szCs w:val="20"/>
              </w:rPr>
              <w:t>B) Gastos de inversión:</w:t>
            </w:r>
            <w:r w:rsidR="008E21DE">
              <w:rPr>
                <w:rFonts w:ascii="Verdana" w:hAnsi="Verdana"/>
                <w:sz w:val="20"/>
                <w:szCs w:val="20"/>
              </w:rPr>
              <w:t xml:space="preserve"> En ejecución de Obligaciones </w:t>
            </w:r>
            <w:r w:rsidR="00C44680">
              <w:rPr>
                <w:rFonts w:ascii="Verdana" w:hAnsi="Verdana"/>
                <w:sz w:val="20"/>
                <w:szCs w:val="20"/>
              </w:rPr>
              <w:t>no se tenía previsto ningún pago para para el mes de enero de 2020.</w:t>
            </w:r>
          </w:p>
          <w:p w:rsidR="00E279ED" w:rsidRDefault="00E279ED" w:rsidP="00A67EEC">
            <w:pPr>
              <w:jc w:val="both"/>
              <w:rPr>
                <w:rFonts w:ascii="Verdana" w:hAnsi="Verdana"/>
                <w:sz w:val="20"/>
                <w:szCs w:val="20"/>
              </w:rPr>
            </w:pPr>
          </w:p>
          <w:p w:rsidR="00A67EEC" w:rsidRPr="00182BFD" w:rsidRDefault="00E279ED" w:rsidP="008E21DE">
            <w:pPr>
              <w:jc w:val="both"/>
              <w:rPr>
                <w:rFonts w:ascii="Verdana" w:hAnsi="Verdana"/>
                <w:sz w:val="20"/>
                <w:szCs w:val="20"/>
              </w:rPr>
            </w:pPr>
            <w:r w:rsidRPr="00A41A2D">
              <w:rPr>
                <w:rFonts w:ascii="Verdana" w:hAnsi="Verdana"/>
                <w:sz w:val="20"/>
              </w:rPr>
              <w:t xml:space="preserve">El </w:t>
            </w:r>
            <w:r w:rsidR="008E21DE">
              <w:rPr>
                <w:rFonts w:ascii="Verdana" w:hAnsi="Verdana"/>
                <w:sz w:val="20"/>
              </w:rPr>
              <w:t>100</w:t>
            </w:r>
            <w:r w:rsidRPr="00A41A2D">
              <w:rPr>
                <w:rFonts w:ascii="Verdana" w:hAnsi="Verdana"/>
                <w:sz w:val="20"/>
              </w:rPr>
              <w:t>% de la ejecución corresponde</w:t>
            </w:r>
            <w:r w:rsidR="008E21DE">
              <w:rPr>
                <w:rFonts w:ascii="Verdana" w:hAnsi="Verdana"/>
                <w:sz w:val="20"/>
              </w:rPr>
              <w:t xml:space="preserve"> a los gastos de funcionamiento.</w:t>
            </w:r>
          </w:p>
          <w:p w:rsidR="00182BFD" w:rsidRPr="00E279ED" w:rsidRDefault="00182BFD" w:rsidP="00A67EEC">
            <w:pPr>
              <w:jc w:val="both"/>
              <w:rPr>
                <w:rFonts w:ascii="Verdana" w:hAnsi="Verdana"/>
                <w:sz w:val="20"/>
                <w:szCs w:val="20"/>
                <w:highlight w:val="yellow"/>
              </w:rPr>
            </w:pPr>
          </w:p>
          <w:p w:rsidR="008E21DE" w:rsidRDefault="008E21DE" w:rsidP="008E21DE">
            <w:pPr>
              <w:jc w:val="both"/>
              <w:rPr>
                <w:rFonts w:ascii="Verdana" w:hAnsi="Verdana" w:cs="Arial"/>
                <w:sz w:val="20"/>
                <w:szCs w:val="20"/>
              </w:rPr>
            </w:pPr>
            <w:r w:rsidRPr="007C68D7">
              <w:rPr>
                <w:rFonts w:ascii="Verdana" w:hAnsi="Verdana" w:cs="Arial"/>
                <w:sz w:val="20"/>
                <w:szCs w:val="20"/>
              </w:rPr>
              <w:t xml:space="preserve">La ejecución </w:t>
            </w:r>
            <w:r>
              <w:rPr>
                <w:rFonts w:ascii="Verdana" w:hAnsi="Verdana" w:cs="Arial"/>
                <w:sz w:val="20"/>
                <w:szCs w:val="20"/>
              </w:rPr>
              <w:t xml:space="preserve">de obligaciones </w:t>
            </w:r>
            <w:r w:rsidRPr="007C68D7">
              <w:rPr>
                <w:rFonts w:ascii="Verdana" w:hAnsi="Verdana" w:cs="Arial"/>
                <w:sz w:val="20"/>
                <w:szCs w:val="20"/>
              </w:rPr>
              <w:t>en funcionamiento se distribuyó así:</w:t>
            </w:r>
          </w:p>
          <w:p w:rsidR="008E21DE" w:rsidRPr="007C68D7" w:rsidRDefault="008E21DE" w:rsidP="008E21DE">
            <w:pPr>
              <w:jc w:val="both"/>
              <w:rPr>
                <w:rFonts w:ascii="Verdana" w:hAnsi="Verdana" w:cs="Arial"/>
                <w:sz w:val="20"/>
                <w:szCs w:val="20"/>
              </w:rPr>
            </w:pPr>
          </w:p>
          <w:p w:rsidR="008E21DE" w:rsidRPr="007C68D7" w:rsidRDefault="008E21DE" w:rsidP="008E21DE">
            <w:pPr>
              <w:jc w:val="both"/>
              <w:rPr>
                <w:rFonts w:ascii="Verdana" w:hAnsi="Verdana" w:cs="Arial"/>
                <w:sz w:val="20"/>
                <w:szCs w:val="20"/>
              </w:rPr>
            </w:pPr>
            <w:r w:rsidRPr="007C68D7">
              <w:rPr>
                <w:rFonts w:ascii="Verdana" w:hAnsi="Verdana" w:cs="Arial"/>
                <w:sz w:val="20"/>
                <w:szCs w:val="20"/>
              </w:rPr>
              <w:t xml:space="preserve">1) Gastos de personal con el </w:t>
            </w:r>
            <w:r>
              <w:rPr>
                <w:rFonts w:ascii="Verdana" w:hAnsi="Verdana" w:cs="Arial"/>
                <w:sz w:val="20"/>
                <w:szCs w:val="20"/>
              </w:rPr>
              <w:t>75,01</w:t>
            </w:r>
            <w:r w:rsidRPr="007C68D7">
              <w:rPr>
                <w:rFonts w:ascii="Verdana" w:hAnsi="Verdana" w:cs="Arial"/>
                <w:sz w:val="20"/>
                <w:szCs w:val="20"/>
              </w:rPr>
              <w:t>%.</w:t>
            </w:r>
          </w:p>
          <w:p w:rsidR="008E21DE" w:rsidRPr="007C68D7" w:rsidRDefault="008E21DE" w:rsidP="008E21DE">
            <w:pPr>
              <w:jc w:val="both"/>
              <w:rPr>
                <w:rFonts w:ascii="Verdana" w:hAnsi="Verdana" w:cs="Arial"/>
                <w:sz w:val="20"/>
                <w:szCs w:val="20"/>
              </w:rPr>
            </w:pPr>
            <w:r w:rsidRPr="007C68D7">
              <w:rPr>
                <w:rFonts w:ascii="Verdana" w:hAnsi="Verdana" w:cs="Arial"/>
                <w:sz w:val="20"/>
                <w:szCs w:val="20"/>
              </w:rPr>
              <w:lastRenderedPageBreak/>
              <w:t xml:space="preserve">2) Gastos por adquisición de bienes y servicios con el </w:t>
            </w:r>
            <w:r>
              <w:rPr>
                <w:rFonts w:ascii="Verdana" w:hAnsi="Verdana" w:cs="Arial"/>
                <w:sz w:val="20"/>
                <w:szCs w:val="20"/>
              </w:rPr>
              <w:t>24,66</w:t>
            </w:r>
            <w:r w:rsidRPr="007C68D7">
              <w:rPr>
                <w:rFonts w:ascii="Verdana" w:hAnsi="Verdana" w:cs="Arial"/>
                <w:sz w:val="20"/>
                <w:szCs w:val="20"/>
              </w:rPr>
              <w:t>%.</w:t>
            </w:r>
          </w:p>
          <w:p w:rsidR="008E21DE" w:rsidRDefault="008E21DE" w:rsidP="008E21DE">
            <w:pPr>
              <w:jc w:val="both"/>
              <w:rPr>
                <w:rFonts w:ascii="Verdana" w:hAnsi="Verdana" w:cs="Arial"/>
                <w:sz w:val="20"/>
                <w:szCs w:val="20"/>
              </w:rPr>
            </w:pPr>
            <w:r w:rsidRPr="007C68D7">
              <w:rPr>
                <w:rFonts w:ascii="Verdana" w:hAnsi="Verdana" w:cs="Arial"/>
                <w:sz w:val="20"/>
                <w:szCs w:val="20"/>
              </w:rPr>
              <w:t xml:space="preserve">3) </w:t>
            </w:r>
            <w:r>
              <w:rPr>
                <w:rFonts w:ascii="Verdana" w:hAnsi="Verdana" w:cs="Arial"/>
                <w:sz w:val="20"/>
                <w:szCs w:val="20"/>
              </w:rPr>
              <w:t xml:space="preserve">Gastos </w:t>
            </w:r>
            <w:r w:rsidRPr="00882814">
              <w:rPr>
                <w:rFonts w:ascii="Verdana" w:hAnsi="Verdana" w:cs="Arial"/>
                <w:sz w:val="20"/>
                <w:szCs w:val="20"/>
              </w:rPr>
              <w:t xml:space="preserve">de transferencias corrientes representan el </w:t>
            </w:r>
            <w:r>
              <w:rPr>
                <w:rFonts w:ascii="Verdana" w:hAnsi="Verdana" w:cs="Arial"/>
                <w:sz w:val="20"/>
                <w:szCs w:val="20"/>
              </w:rPr>
              <w:t>0,33</w:t>
            </w:r>
            <w:r w:rsidRPr="00882814">
              <w:rPr>
                <w:rFonts w:ascii="Verdana" w:hAnsi="Verdana" w:cs="Arial"/>
                <w:sz w:val="20"/>
                <w:szCs w:val="20"/>
              </w:rPr>
              <w:t xml:space="preserve">%, el </w:t>
            </w:r>
            <w:r>
              <w:rPr>
                <w:rFonts w:ascii="Verdana" w:hAnsi="Verdana" w:cs="Arial"/>
                <w:sz w:val="20"/>
                <w:szCs w:val="20"/>
              </w:rPr>
              <w:t>0,32</w:t>
            </w:r>
            <w:r w:rsidRPr="00882814">
              <w:rPr>
                <w:rFonts w:ascii="Verdana" w:hAnsi="Verdana" w:cs="Arial"/>
                <w:sz w:val="20"/>
                <w:szCs w:val="20"/>
              </w:rPr>
              <w:t xml:space="preserve">% correspondientes a gastos del Fondo de Cooperación y Asistencia Internacional – FOCAI Y el </w:t>
            </w:r>
            <w:r>
              <w:rPr>
                <w:rFonts w:ascii="Verdana" w:hAnsi="Verdana" w:cs="Arial"/>
                <w:sz w:val="20"/>
                <w:szCs w:val="20"/>
              </w:rPr>
              <w:t>0,01</w:t>
            </w:r>
            <w:r w:rsidRPr="00882814">
              <w:rPr>
                <w:rFonts w:ascii="Verdana" w:hAnsi="Verdana" w:cs="Arial"/>
                <w:sz w:val="20"/>
                <w:szCs w:val="20"/>
              </w:rPr>
              <w:t>% a Incapaci</w:t>
            </w:r>
            <w:r>
              <w:rPr>
                <w:rFonts w:ascii="Verdana" w:hAnsi="Verdana" w:cs="Arial"/>
                <w:sz w:val="20"/>
                <w:szCs w:val="20"/>
              </w:rPr>
              <w:t>dades y Licencias de maternidad y paternidad.</w:t>
            </w:r>
          </w:p>
          <w:p w:rsidR="008E21DE" w:rsidRPr="007C68D7" w:rsidRDefault="008E21DE" w:rsidP="008E21DE">
            <w:pPr>
              <w:jc w:val="both"/>
              <w:rPr>
                <w:rFonts w:ascii="Verdana" w:hAnsi="Verdana" w:cs="Arial"/>
                <w:sz w:val="20"/>
                <w:szCs w:val="20"/>
              </w:rPr>
            </w:pPr>
            <w:r w:rsidRPr="007C68D7">
              <w:rPr>
                <w:rFonts w:ascii="Verdana" w:hAnsi="Verdana" w:cs="Arial"/>
                <w:sz w:val="20"/>
                <w:szCs w:val="20"/>
              </w:rPr>
              <w:t xml:space="preserve"> </w:t>
            </w:r>
          </w:p>
          <w:p w:rsidR="00A67EEC" w:rsidRPr="006D212E" w:rsidRDefault="00A67EEC" w:rsidP="00A67EEC">
            <w:pPr>
              <w:jc w:val="both"/>
              <w:rPr>
                <w:rFonts w:ascii="Verdana" w:hAnsi="Verdana"/>
                <w:sz w:val="20"/>
                <w:szCs w:val="20"/>
              </w:rPr>
            </w:pPr>
          </w:p>
          <w:p w:rsidR="001F6498" w:rsidRPr="009B7746" w:rsidRDefault="001F6498" w:rsidP="008E21DE">
            <w:pPr>
              <w:jc w:val="both"/>
              <w:rPr>
                <w:rFonts w:ascii="Verdana" w:hAnsi="Verdana"/>
                <w:sz w:val="20"/>
                <w:szCs w:val="20"/>
                <w:highlight w:val="yellow"/>
              </w:rPr>
            </w:pPr>
          </w:p>
        </w:tc>
      </w:tr>
    </w:tbl>
    <w:p w:rsidR="00CA4EC6" w:rsidRPr="003C58A7" w:rsidRDefault="00CA4EC6" w:rsidP="00B41CB3">
      <w:pPr>
        <w:jc w:val="center"/>
        <w:rPr>
          <w:rFonts w:ascii="Verdana" w:hAnsi="Verdana"/>
          <w:b/>
          <w:sz w:val="20"/>
          <w:szCs w:val="20"/>
        </w:rPr>
      </w:pPr>
    </w:p>
    <w:p w:rsidR="00873972" w:rsidRPr="003C58A7" w:rsidRDefault="00873972" w:rsidP="00B41CB3">
      <w:pPr>
        <w:jc w:val="center"/>
        <w:rPr>
          <w:rFonts w:ascii="Verdana" w:hAnsi="Verdana"/>
          <w:b/>
          <w:sz w:val="22"/>
          <w:szCs w:val="20"/>
        </w:rPr>
      </w:pPr>
      <w:r w:rsidRPr="003C58A7">
        <w:rPr>
          <w:rFonts w:ascii="Verdana" w:hAnsi="Verdana"/>
          <w:b/>
          <w:sz w:val="22"/>
          <w:szCs w:val="20"/>
        </w:rPr>
        <w:t>Presupuesto de Funcionamiento</w:t>
      </w:r>
    </w:p>
    <w:p w:rsidR="005572D7" w:rsidRPr="003C58A7" w:rsidRDefault="005572D7" w:rsidP="00B41CB3">
      <w:pPr>
        <w:jc w:val="center"/>
        <w:rPr>
          <w:rFonts w:ascii="Verdana" w:hAnsi="Verdana"/>
          <w:b/>
          <w:sz w:val="22"/>
          <w:szCs w:val="20"/>
        </w:rPr>
      </w:pPr>
    </w:p>
    <w:tbl>
      <w:tblPr>
        <w:tblStyle w:val="Tablaconcuadrcula"/>
        <w:tblW w:w="0" w:type="auto"/>
        <w:tblLook w:val="04A0" w:firstRow="1" w:lastRow="0" w:firstColumn="1" w:lastColumn="0" w:noHBand="0" w:noVBand="1"/>
      </w:tblPr>
      <w:tblGrid>
        <w:gridCol w:w="6639"/>
        <w:gridCol w:w="6639"/>
      </w:tblGrid>
      <w:tr w:rsidR="00355DFC" w:rsidRPr="003C58A7" w:rsidTr="001E6A86">
        <w:tc>
          <w:tcPr>
            <w:tcW w:w="7064" w:type="dxa"/>
          </w:tcPr>
          <w:p w:rsidR="00873972" w:rsidRPr="003C58A7" w:rsidRDefault="00873972" w:rsidP="00B41CB3">
            <w:pPr>
              <w:jc w:val="center"/>
              <w:rPr>
                <w:rFonts w:ascii="Verdana" w:hAnsi="Verdana"/>
                <w:b/>
                <w:sz w:val="22"/>
                <w:szCs w:val="20"/>
              </w:rPr>
            </w:pPr>
            <w:r w:rsidRPr="003C58A7">
              <w:rPr>
                <w:rFonts w:ascii="Verdana" w:hAnsi="Verdana"/>
                <w:b/>
                <w:sz w:val="22"/>
                <w:szCs w:val="20"/>
              </w:rPr>
              <w:t>C</w:t>
            </w:r>
            <w:r w:rsidR="003F2322" w:rsidRPr="003C58A7">
              <w:rPr>
                <w:rFonts w:ascii="Verdana" w:hAnsi="Verdana"/>
                <w:b/>
                <w:sz w:val="22"/>
                <w:szCs w:val="20"/>
              </w:rPr>
              <w:t>ompromisos</w:t>
            </w:r>
          </w:p>
        </w:tc>
        <w:tc>
          <w:tcPr>
            <w:tcW w:w="7064" w:type="dxa"/>
          </w:tcPr>
          <w:p w:rsidR="00873972" w:rsidRPr="003C58A7" w:rsidRDefault="00873972" w:rsidP="00B41CB3">
            <w:pPr>
              <w:jc w:val="center"/>
              <w:rPr>
                <w:rFonts w:ascii="Verdana" w:hAnsi="Verdana"/>
                <w:b/>
                <w:sz w:val="22"/>
                <w:szCs w:val="20"/>
              </w:rPr>
            </w:pPr>
            <w:r w:rsidRPr="003C58A7">
              <w:rPr>
                <w:rFonts w:ascii="Verdana" w:hAnsi="Verdana"/>
                <w:b/>
                <w:sz w:val="22"/>
                <w:szCs w:val="20"/>
              </w:rPr>
              <w:t>O</w:t>
            </w:r>
            <w:r w:rsidR="003F2322" w:rsidRPr="003C58A7">
              <w:rPr>
                <w:rFonts w:ascii="Verdana" w:hAnsi="Verdana"/>
                <w:b/>
                <w:sz w:val="22"/>
                <w:szCs w:val="20"/>
              </w:rPr>
              <w:t>bligaciones</w:t>
            </w:r>
          </w:p>
        </w:tc>
      </w:tr>
      <w:tr w:rsidR="00355DFC" w:rsidRPr="003C58A7" w:rsidTr="0069199D">
        <w:trPr>
          <w:trHeight w:val="557"/>
        </w:trPr>
        <w:tc>
          <w:tcPr>
            <w:tcW w:w="7064" w:type="dxa"/>
          </w:tcPr>
          <w:p w:rsidR="00A81738" w:rsidRPr="00291F1C" w:rsidRDefault="00A81738" w:rsidP="00A81738">
            <w:pPr>
              <w:jc w:val="both"/>
              <w:rPr>
                <w:rFonts w:ascii="Verdana" w:hAnsi="Verdana"/>
                <w:sz w:val="20"/>
                <w:szCs w:val="20"/>
              </w:rPr>
            </w:pPr>
            <w:r w:rsidRPr="00291F1C">
              <w:rPr>
                <w:rFonts w:ascii="Verdana" w:hAnsi="Verdana"/>
                <w:b/>
                <w:sz w:val="20"/>
                <w:szCs w:val="20"/>
              </w:rPr>
              <w:t>Indicador:</w:t>
            </w:r>
            <w:r w:rsidRPr="00291F1C">
              <w:rPr>
                <w:rFonts w:ascii="Verdana" w:hAnsi="Verdana"/>
                <w:sz w:val="20"/>
                <w:szCs w:val="20"/>
              </w:rPr>
              <w:t xml:space="preserve"> Ejecución Compromisos / Apropiación Vigente.</w:t>
            </w:r>
          </w:p>
          <w:p w:rsidR="00A81738" w:rsidRPr="00291F1C" w:rsidRDefault="00A81738" w:rsidP="00A81738">
            <w:pPr>
              <w:jc w:val="both"/>
              <w:rPr>
                <w:rFonts w:ascii="Verdana" w:hAnsi="Verdana"/>
                <w:sz w:val="20"/>
                <w:szCs w:val="20"/>
              </w:rPr>
            </w:pPr>
            <w:r w:rsidRPr="00291F1C">
              <w:rPr>
                <w:rFonts w:ascii="Verdana" w:hAnsi="Verdana"/>
                <w:b/>
                <w:sz w:val="20"/>
                <w:szCs w:val="20"/>
              </w:rPr>
              <w:t>Indicador:</w:t>
            </w:r>
            <w:r w:rsidR="00291F1C">
              <w:rPr>
                <w:rFonts w:ascii="Verdana" w:hAnsi="Verdana"/>
                <w:b/>
                <w:sz w:val="20"/>
                <w:szCs w:val="20"/>
              </w:rPr>
              <w:t xml:space="preserve"> </w:t>
            </w:r>
            <w:r w:rsidR="00291F1C">
              <w:rPr>
                <w:rFonts w:ascii="Verdana" w:hAnsi="Verdana"/>
                <w:sz w:val="20"/>
                <w:szCs w:val="20"/>
              </w:rPr>
              <w:t xml:space="preserve">1.200,0 </w:t>
            </w:r>
            <w:r w:rsidR="00B378AF" w:rsidRPr="00291F1C">
              <w:rPr>
                <w:rFonts w:ascii="Verdana" w:hAnsi="Verdana"/>
                <w:sz w:val="20"/>
                <w:szCs w:val="20"/>
              </w:rPr>
              <w:t>/</w:t>
            </w:r>
            <w:r w:rsidR="00291F1C">
              <w:rPr>
                <w:rFonts w:ascii="Verdana" w:hAnsi="Verdana"/>
                <w:sz w:val="20"/>
                <w:szCs w:val="20"/>
              </w:rPr>
              <w:t xml:space="preserve"> 28.415,0</w:t>
            </w:r>
            <w:r w:rsidR="00B378AF" w:rsidRPr="00291F1C">
              <w:rPr>
                <w:rFonts w:ascii="Verdana" w:hAnsi="Verdana"/>
                <w:sz w:val="20"/>
                <w:szCs w:val="20"/>
              </w:rPr>
              <w:t xml:space="preserve"> </w:t>
            </w:r>
            <w:r w:rsidR="00241F24" w:rsidRPr="00291F1C">
              <w:rPr>
                <w:rFonts w:ascii="Verdana" w:hAnsi="Verdana"/>
                <w:sz w:val="20"/>
                <w:szCs w:val="20"/>
              </w:rPr>
              <w:t xml:space="preserve">= </w:t>
            </w:r>
            <w:r w:rsidR="00291F1C">
              <w:rPr>
                <w:rFonts w:ascii="Verdana" w:hAnsi="Verdana"/>
                <w:sz w:val="20"/>
                <w:szCs w:val="20"/>
              </w:rPr>
              <w:t>4,22</w:t>
            </w:r>
            <w:r w:rsidRPr="00291F1C">
              <w:rPr>
                <w:rFonts w:ascii="Verdana" w:hAnsi="Verdana"/>
                <w:sz w:val="20"/>
                <w:szCs w:val="20"/>
              </w:rPr>
              <w:t>%.</w:t>
            </w:r>
          </w:p>
          <w:p w:rsidR="00A81738" w:rsidRPr="00291F1C" w:rsidRDefault="00A81738" w:rsidP="00A81738">
            <w:pPr>
              <w:jc w:val="both"/>
              <w:rPr>
                <w:rFonts w:ascii="Verdana" w:hAnsi="Verdana"/>
                <w:sz w:val="20"/>
                <w:szCs w:val="20"/>
                <w:highlight w:val="yellow"/>
              </w:rPr>
            </w:pPr>
          </w:p>
          <w:p w:rsidR="00A81738" w:rsidRDefault="00241F24" w:rsidP="00A81738">
            <w:pPr>
              <w:jc w:val="both"/>
              <w:rPr>
                <w:rFonts w:ascii="Verdana" w:hAnsi="Verdana"/>
                <w:iCs/>
                <w:sz w:val="20"/>
                <w:szCs w:val="20"/>
                <w:lang w:val="es-ES"/>
              </w:rPr>
            </w:pPr>
            <w:r w:rsidRPr="00112321">
              <w:rPr>
                <w:rFonts w:ascii="Verdana" w:hAnsi="Verdana"/>
                <w:sz w:val="20"/>
                <w:szCs w:val="20"/>
              </w:rPr>
              <w:t xml:space="preserve">Se ha comprometido el </w:t>
            </w:r>
            <w:r w:rsidR="00112321" w:rsidRPr="00112321">
              <w:rPr>
                <w:rFonts w:ascii="Verdana" w:hAnsi="Verdana"/>
                <w:sz w:val="20"/>
                <w:szCs w:val="20"/>
              </w:rPr>
              <w:t>4,22</w:t>
            </w:r>
            <w:r w:rsidR="00A81738" w:rsidRPr="00112321">
              <w:rPr>
                <w:rFonts w:ascii="Verdana" w:hAnsi="Verdana"/>
                <w:sz w:val="20"/>
                <w:szCs w:val="20"/>
              </w:rPr>
              <w:t xml:space="preserve">% del presupuesto de funcionamiento equivalente a </w:t>
            </w:r>
            <w:r w:rsidR="00112321" w:rsidRPr="00112321">
              <w:rPr>
                <w:rFonts w:ascii="Verdana" w:hAnsi="Verdana"/>
                <w:sz w:val="20"/>
                <w:szCs w:val="20"/>
              </w:rPr>
              <w:t>1.200,0</w:t>
            </w:r>
            <w:r w:rsidRPr="00112321">
              <w:rPr>
                <w:rFonts w:ascii="Verdana" w:hAnsi="Verdana"/>
                <w:sz w:val="20"/>
                <w:szCs w:val="20"/>
              </w:rPr>
              <w:t xml:space="preserve"> millones, de una meta del </w:t>
            </w:r>
            <w:r w:rsidR="00112321" w:rsidRPr="00112321">
              <w:rPr>
                <w:rFonts w:ascii="Verdana" w:hAnsi="Verdana"/>
                <w:sz w:val="20"/>
                <w:szCs w:val="20"/>
              </w:rPr>
              <w:lastRenderedPageBreak/>
              <w:t>4,45</w:t>
            </w:r>
            <w:r w:rsidR="00A81738" w:rsidRPr="00112321">
              <w:rPr>
                <w:rFonts w:ascii="Verdana" w:hAnsi="Verdana"/>
                <w:sz w:val="20"/>
                <w:szCs w:val="20"/>
              </w:rPr>
              <w:t xml:space="preserve">%, con un déficit de </w:t>
            </w:r>
            <w:r w:rsidR="00C33A26">
              <w:rPr>
                <w:rFonts w:ascii="Verdana" w:hAnsi="Verdana"/>
                <w:sz w:val="20"/>
                <w:szCs w:val="20"/>
              </w:rPr>
              <w:t>63,9</w:t>
            </w:r>
            <w:r w:rsidRPr="00112321">
              <w:rPr>
                <w:rFonts w:ascii="Verdana" w:hAnsi="Verdana"/>
                <w:sz w:val="20"/>
                <w:szCs w:val="20"/>
              </w:rPr>
              <w:t xml:space="preserve"> </w:t>
            </w:r>
            <w:r w:rsidR="00634DFF">
              <w:rPr>
                <w:rFonts w:ascii="Verdana" w:hAnsi="Verdana"/>
                <w:sz w:val="20"/>
                <w:szCs w:val="20"/>
              </w:rPr>
              <w:t>millones, explicado así</w:t>
            </w:r>
            <w:r w:rsidR="00FF07B5">
              <w:rPr>
                <w:rFonts w:ascii="Verdana" w:hAnsi="Verdana"/>
                <w:sz w:val="20"/>
                <w:szCs w:val="20"/>
              </w:rPr>
              <w:t>: a</w:t>
            </w:r>
            <w:r w:rsidRPr="00112321">
              <w:rPr>
                <w:rFonts w:ascii="Verdana" w:hAnsi="Verdana"/>
                <w:sz w:val="20"/>
                <w:szCs w:val="20"/>
              </w:rPr>
              <w:t>) D</w:t>
            </w:r>
            <w:r w:rsidR="00E72AA0" w:rsidRPr="00112321">
              <w:rPr>
                <w:rFonts w:ascii="Verdana" w:hAnsi="Verdana"/>
                <w:sz w:val="20"/>
                <w:szCs w:val="20"/>
              </w:rPr>
              <w:t>éf</w:t>
            </w:r>
            <w:r w:rsidR="00B378AF" w:rsidRPr="00112321">
              <w:rPr>
                <w:rFonts w:ascii="Verdana" w:hAnsi="Verdana"/>
                <w:sz w:val="20"/>
                <w:szCs w:val="20"/>
              </w:rPr>
              <w:t xml:space="preserve">icit en </w:t>
            </w:r>
            <w:r w:rsidR="00FF07B5" w:rsidRPr="00FF07B5">
              <w:rPr>
                <w:rFonts w:ascii="Verdana" w:hAnsi="Verdana"/>
                <w:sz w:val="20"/>
                <w:szCs w:val="20"/>
              </w:rPr>
              <w:t xml:space="preserve">adquisición de bienes y servicios por </w:t>
            </w:r>
            <w:r w:rsidR="00C33A26">
              <w:rPr>
                <w:rFonts w:ascii="Verdana" w:hAnsi="Verdana"/>
                <w:sz w:val="20"/>
                <w:szCs w:val="20"/>
              </w:rPr>
              <w:t>85,1</w:t>
            </w:r>
            <w:r w:rsidR="00E72AA0" w:rsidRPr="00112321">
              <w:rPr>
                <w:rFonts w:ascii="Verdana" w:hAnsi="Verdana"/>
                <w:sz w:val="20"/>
                <w:szCs w:val="20"/>
              </w:rPr>
              <w:t xml:space="preserve"> millones, </w:t>
            </w:r>
            <w:r w:rsidR="00FF07B5" w:rsidRPr="009331E5">
              <w:rPr>
                <w:rFonts w:ascii="Verdana" w:hAnsi="Verdana"/>
                <w:sz w:val="20"/>
                <w:szCs w:val="20"/>
              </w:rPr>
              <w:t>debido a</w:t>
            </w:r>
            <w:r w:rsidR="00FF07B5">
              <w:rPr>
                <w:rFonts w:ascii="Verdana" w:hAnsi="Verdana"/>
                <w:sz w:val="20"/>
                <w:szCs w:val="20"/>
              </w:rPr>
              <w:t xml:space="preserve"> que no se hicieron todas las contrataciones previstas por prestación de servicios profesionales al cierre del mes de enero; también a un ahorro en la orden de compra realizada por concepto de combustible y a que en el mes de enero se presentaron pocas comisiones de funcionarios, generando un ahorro en lo que se había dispuesto para viáticos</w:t>
            </w:r>
            <w:r w:rsidR="00E72AA0" w:rsidRPr="00112321">
              <w:rPr>
                <w:rFonts w:ascii="Verdana" w:hAnsi="Verdana"/>
                <w:iCs/>
                <w:sz w:val="20"/>
                <w:szCs w:val="20"/>
                <w:lang w:val="es-ES"/>
              </w:rPr>
              <w:t>.</w:t>
            </w:r>
            <w:r w:rsidR="00FF07B5">
              <w:rPr>
                <w:rFonts w:ascii="Verdana" w:hAnsi="Verdana"/>
                <w:sz w:val="20"/>
                <w:szCs w:val="20"/>
              </w:rPr>
              <w:t>; b</w:t>
            </w:r>
            <w:r w:rsidR="00A81738" w:rsidRPr="00112321">
              <w:rPr>
                <w:rFonts w:ascii="Verdana" w:hAnsi="Verdana"/>
                <w:sz w:val="20"/>
                <w:szCs w:val="20"/>
              </w:rPr>
              <w:t xml:space="preserve">) </w:t>
            </w:r>
            <w:r w:rsidR="00634DFF" w:rsidRPr="009331E5">
              <w:rPr>
                <w:rFonts w:ascii="Verdana" w:hAnsi="Verdana"/>
                <w:iCs/>
                <w:sz w:val="20"/>
                <w:szCs w:val="20"/>
                <w:lang w:val="es-ES"/>
              </w:rPr>
              <w:t>Superávit en ejecución de tra</w:t>
            </w:r>
            <w:r w:rsidR="00C33A26">
              <w:rPr>
                <w:rFonts w:ascii="Verdana" w:hAnsi="Verdana"/>
                <w:iCs/>
                <w:sz w:val="20"/>
                <w:szCs w:val="20"/>
                <w:lang w:val="es-ES"/>
              </w:rPr>
              <w:t>nsferencias corrientes por 21,2</w:t>
            </w:r>
            <w:r w:rsidR="00634DFF">
              <w:rPr>
                <w:rFonts w:ascii="Verdana" w:hAnsi="Verdana"/>
                <w:iCs/>
                <w:sz w:val="20"/>
                <w:szCs w:val="20"/>
                <w:lang w:val="es-ES"/>
              </w:rPr>
              <w:t xml:space="preserve"> millones, para cubrir gastos de viaje a participantes de una actividad </w:t>
            </w:r>
            <w:r w:rsidR="00634DFF" w:rsidRPr="009331E5">
              <w:rPr>
                <w:rFonts w:ascii="Verdana" w:hAnsi="Verdana"/>
                <w:iCs/>
                <w:sz w:val="20"/>
                <w:szCs w:val="20"/>
                <w:lang w:val="es-CO"/>
              </w:rPr>
              <w:t>realizada en el marco de un proyecto de cooperación internacional</w:t>
            </w:r>
            <w:r w:rsidR="00634DFF">
              <w:rPr>
                <w:rFonts w:ascii="Verdana" w:hAnsi="Verdana"/>
                <w:iCs/>
                <w:sz w:val="20"/>
                <w:szCs w:val="20"/>
                <w:lang w:val="es-ES"/>
              </w:rPr>
              <w:t>, con recursos provenientes del FOCAI</w:t>
            </w:r>
            <w:r w:rsidR="00634DFF" w:rsidRPr="009331E5">
              <w:rPr>
                <w:rFonts w:ascii="Verdana" w:hAnsi="Verdana"/>
                <w:iCs/>
                <w:sz w:val="20"/>
                <w:szCs w:val="20"/>
                <w:lang w:val="es-ES"/>
              </w:rPr>
              <w:t xml:space="preserve">. </w:t>
            </w:r>
          </w:p>
          <w:p w:rsidR="00634DFF" w:rsidRPr="00291F1C" w:rsidRDefault="00634DFF" w:rsidP="00A81738">
            <w:pPr>
              <w:jc w:val="both"/>
              <w:rPr>
                <w:rFonts w:ascii="Verdana" w:hAnsi="Verdana"/>
                <w:sz w:val="20"/>
                <w:szCs w:val="20"/>
                <w:highlight w:val="yellow"/>
              </w:rPr>
            </w:pPr>
          </w:p>
          <w:p w:rsidR="00A81738" w:rsidRPr="00634DFF" w:rsidRDefault="00A81738" w:rsidP="00A81738">
            <w:pPr>
              <w:jc w:val="both"/>
              <w:rPr>
                <w:rFonts w:ascii="Verdana" w:hAnsi="Verdana"/>
                <w:sz w:val="20"/>
                <w:szCs w:val="20"/>
              </w:rPr>
            </w:pPr>
            <w:r w:rsidRPr="00634DFF">
              <w:rPr>
                <w:rFonts w:ascii="Verdana" w:hAnsi="Verdana"/>
                <w:sz w:val="20"/>
                <w:szCs w:val="20"/>
              </w:rPr>
              <w:t xml:space="preserve">La ejecución de los gastos de funcionamiento estuvo distribuida de la siguiente manera: </w:t>
            </w:r>
          </w:p>
          <w:p w:rsidR="00A81738" w:rsidRPr="00634DFF" w:rsidRDefault="00A81738" w:rsidP="00A81738">
            <w:pPr>
              <w:jc w:val="both"/>
              <w:rPr>
                <w:rFonts w:ascii="Verdana" w:hAnsi="Verdana"/>
                <w:sz w:val="20"/>
                <w:szCs w:val="20"/>
              </w:rPr>
            </w:pPr>
          </w:p>
          <w:p w:rsidR="00634DFF" w:rsidRDefault="00E72AA0" w:rsidP="00E72AA0">
            <w:pPr>
              <w:jc w:val="both"/>
              <w:rPr>
                <w:rFonts w:ascii="Verdana" w:hAnsi="Verdana"/>
                <w:sz w:val="20"/>
                <w:szCs w:val="20"/>
              </w:rPr>
            </w:pPr>
            <w:r w:rsidRPr="00634DFF">
              <w:rPr>
                <w:rFonts w:ascii="Verdana" w:hAnsi="Verdana"/>
                <w:sz w:val="20"/>
                <w:szCs w:val="20"/>
              </w:rPr>
              <w:t xml:space="preserve">1) </w:t>
            </w:r>
            <w:r w:rsidR="00634DFF" w:rsidRPr="00634DFF">
              <w:rPr>
                <w:rFonts w:ascii="Verdana" w:hAnsi="Verdana"/>
                <w:sz w:val="20"/>
                <w:szCs w:val="20"/>
              </w:rPr>
              <w:t>Los gastos de</w:t>
            </w:r>
            <w:r w:rsidR="00634DFF">
              <w:rPr>
                <w:rFonts w:ascii="Verdana" w:hAnsi="Verdana"/>
                <w:sz w:val="20"/>
                <w:szCs w:val="20"/>
              </w:rPr>
              <w:t xml:space="preserve"> personal representan el 46,27%.</w:t>
            </w:r>
          </w:p>
          <w:p w:rsidR="00634DFF" w:rsidRPr="00634DFF" w:rsidRDefault="00E72AA0" w:rsidP="00634DFF">
            <w:pPr>
              <w:jc w:val="both"/>
              <w:rPr>
                <w:rFonts w:ascii="Verdana" w:hAnsi="Verdana"/>
                <w:sz w:val="20"/>
                <w:szCs w:val="20"/>
              </w:rPr>
            </w:pPr>
            <w:r w:rsidRPr="00634DFF">
              <w:rPr>
                <w:rFonts w:ascii="Verdana" w:hAnsi="Verdana"/>
                <w:sz w:val="20"/>
                <w:szCs w:val="20"/>
              </w:rPr>
              <w:t>2</w:t>
            </w:r>
            <w:r w:rsidR="00634DFF" w:rsidRPr="004A6809">
              <w:rPr>
                <w:rFonts w:ascii="Verdana" w:hAnsi="Verdana"/>
                <w:sz w:val="20"/>
                <w:szCs w:val="20"/>
              </w:rPr>
              <w:t xml:space="preserve"> Los gastos de transferencias corrientes representan el 1,76</w:t>
            </w:r>
            <w:r w:rsidR="00634DFF">
              <w:rPr>
                <w:rFonts w:ascii="Verdana" w:hAnsi="Verdana"/>
                <w:sz w:val="20"/>
                <w:szCs w:val="20"/>
              </w:rPr>
              <w:t xml:space="preserve">%, en su totalidad correspondientes a gastos del </w:t>
            </w:r>
            <w:r w:rsidR="00634DFF" w:rsidRPr="004A6809">
              <w:rPr>
                <w:rFonts w:ascii="Verdana" w:hAnsi="Verdana"/>
                <w:sz w:val="20"/>
                <w:szCs w:val="20"/>
              </w:rPr>
              <w:t>Fondo de Cooperación y Asistencia Internacional – FOCAI</w:t>
            </w:r>
            <w:r w:rsidR="00634DFF" w:rsidRPr="00634DFF">
              <w:rPr>
                <w:rFonts w:ascii="Verdana" w:hAnsi="Verdana"/>
                <w:sz w:val="20"/>
                <w:szCs w:val="20"/>
              </w:rPr>
              <w:t>.</w:t>
            </w:r>
          </w:p>
          <w:p w:rsidR="00873972" w:rsidRPr="00291F1C" w:rsidRDefault="00E72AA0" w:rsidP="008D1343">
            <w:pPr>
              <w:jc w:val="both"/>
              <w:rPr>
                <w:rFonts w:ascii="Verdana" w:hAnsi="Verdana"/>
                <w:sz w:val="20"/>
                <w:szCs w:val="20"/>
                <w:highlight w:val="yellow"/>
              </w:rPr>
            </w:pPr>
            <w:r w:rsidRPr="00634DFF">
              <w:rPr>
                <w:rFonts w:ascii="Verdana" w:hAnsi="Verdana"/>
                <w:sz w:val="20"/>
                <w:szCs w:val="20"/>
              </w:rPr>
              <w:t>3</w:t>
            </w:r>
            <w:r w:rsidR="00634DFF" w:rsidRPr="00634DFF">
              <w:rPr>
                <w:rFonts w:ascii="Verdana" w:hAnsi="Verdana"/>
                <w:sz w:val="20"/>
                <w:szCs w:val="20"/>
              </w:rPr>
              <w:t>) Los gastos por adquisición de bienes y servicios representan el 51,97%.</w:t>
            </w:r>
          </w:p>
        </w:tc>
        <w:tc>
          <w:tcPr>
            <w:tcW w:w="7064" w:type="dxa"/>
            <w:vAlign w:val="center"/>
          </w:tcPr>
          <w:p w:rsidR="00A81738" w:rsidRPr="00291F1C" w:rsidRDefault="00A81738" w:rsidP="00A81738">
            <w:pPr>
              <w:jc w:val="both"/>
              <w:rPr>
                <w:rFonts w:ascii="Verdana" w:hAnsi="Verdana"/>
                <w:sz w:val="20"/>
                <w:szCs w:val="20"/>
              </w:rPr>
            </w:pPr>
            <w:r w:rsidRPr="00291F1C">
              <w:rPr>
                <w:rFonts w:ascii="Verdana" w:hAnsi="Verdana"/>
                <w:b/>
                <w:sz w:val="20"/>
                <w:szCs w:val="20"/>
              </w:rPr>
              <w:lastRenderedPageBreak/>
              <w:t xml:space="preserve">Indicador: </w:t>
            </w:r>
            <w:r w:rsidRPr="00291F1C">
              <w:rPr>
                <w:rFonts w:ascii="Verdana" w:hAnsi="Verdana"/>
                <w:sz w:val="20"/>
                <w:szCs w:val="20"/>
              </w:rPr>
              <w:t>Ejecución Obligaciones / Apropiación Vigente.</w:t>
            </w:r>
          </w:p>
          <w:p w:rsidR="00A81738" w:rsidRPr="00291F1C" w:rsidRDefault="007A6E7B" w:rsidP="00A81738">
            <w:pPr>
              <w:jc w:val="both"/>
              <w:rPr>
                <w:rFonts w:ascii="Verdana" w:hAnsi="Verdana"/>
                <w:sz w:val="20"/>
                <w:szCs w:val="20"/>
              </w:rPr>
            </w:pPr>
            <w:r w:rsidRPr="00291F1C">
              <w:rPr>
                <w:rFonts w:ascii="Verdana" w:hAnsi="Verdana"/>
                <w:b/>
                <w:sz w:val="20"/>
                <w:szCs w:val="20"/>
              </w:rPr>
              <w:t>Indicador:</w:t>
            </w:r>
            <w:r w:rsidRPr="00291F1C">
              <w:rPr>
                <w:rFonts w:ascii="Verdana" w:hAnsi="Verdana"/>
                <w:sz w:val="20"/>
                <w:szCs w:val="20"/>
              </w:rPr>
              <w:t xml:space="preserve"> </w:t>
            </w:r>
            <w:r w:rsidR="00291F1C">
              <w:rPr>
                <w:rFonts w:ascii="Verdana" w:hAnsi="Verdana"/>
                <w:sz w:val="20"/>
                <w:szCs w:val="20"/>
              </w:rPr>
              <w:t xml:space="preserve">833,5 </w:t>
            </w:r>
            <w:r w:rsidR="008C5467" w:rsidRPr="00291F1C">
              <w:rPr>
                <w:rFonts w:ascii="Verdana" w:hAnsi="Verdana"/>
                <w:sz w:val="20"/>
                <w:szCs w:val="20"/>
              </w:rPr>
              <w:t xml:space="preserve">/ </w:t>
            </w:r>
            <w:r w:rsidR="00291F1C">
              <w:rPr>
                <w:rFonts w:ascii="Verdana" w:hAnsi="Verdana"/>
                <w:sz w:val="20"/>
                <w:szCs w:val="20"/>
              </w:rPr>
              <w:t>28.415,0</w:t>
            </w:r>
            <w:r w:rsidR="00291F1C" w:rsidRPr="00291F1C">
              <w:rPr>
                <w:rFonts w:ascii="Verdana" w:hAnsi="Verdana"/>
                <w:sz w:val="20"/>
                <w:szCs w:val="20"/>
              </w:rPr>
              <w:t xml:space="preserve"> </w:t>
            </w:r>
            <w:r w:rsidR="00A81738" w:rsidRPr="00291F1C">
              <w:rPr>
                <w:rFonts w:ascii="Verdana" w:hAnsi="Verdana"/>
                <w:sz w:val="20"/>
                <w:szCs w:val="20"/>
              </w:rPr>
              <w:t xml:space="preserve">= </w:t>
            </w:r>
            <w:r w:rsidR="00291F1C">
              <w:rPr>
                <w:rFonts w:ascii="Verdana" w:hAnsi="Verdana"/>
                <w:sz w:val="20"/>
                <w:szCs w:val="20"/>
              </w:rPr>
              <w:t>2,93</w:t>
            </w:r>
            <w:r w:rsidR="00A81738" w:rsidRPr="00291F1C">
              <w:rPr>
                <w:rFonts w:ascii="Verdana" w:hAnsi="Verdana"/>
                <w:sz w:val="20"/>
                <w:szCs w:val="20"/>
              </w:rPr>
              <w:t>%.</w:t>
            </w:r>
          </w:p>
          <w:p w:rsidR="00A81738" w:rsidRPr="00291F1C" w:rsidRDefault="00A81738" w:rsidP="00A81738">
            <w:pPr>
              <w:jc w:val="both"/>
              <w:rPr>
                <w:rFonts w:ascii="Verdana" w:hAnsi="Verdana"/>
                <w:sz w:val="20"/>
                <w:szCs w:val="20"/>
                <w:highlight w:val="yellow"/>
              </w:rPr>
            </w:pPr>
          </w:p>
          <w:p w:rsidR="00A81738" w:rsidRDefault="00A81738" w:rsidP="00A81738">
            <w:pPr>
              <w:jc w:val="both"/>
              <w:rPr>
                <w:rFonts w:ascii="Verdana" w:hAnsi="Verdana"/>
                <w:iCs/>
                <w:sz w:val="20"/>
                <w:szCs w:val="20"/>
                <w:lang w:val="es-ES"/>
              </w:rPr>
            </w:pPr>
            <w:r w:rsidRPr="0069630A">
              <w:rPr>
                <w:rFonts w:ascii="Verdana" w:hAnsi="Verdana"/>
                <w:sz w:val="20"/>
                <w:szCs w:val="20"/>
              </w:rPr>
              <w:t xml:space="preserve">Se han obligado </w:t>
            </w:r>
            <w:r w:rsidR="0069630A" w:rsidRPr="0069630A">
              <w:rPr>
                <w:rFonts w:ascii="Verdana" w:hAnsi="Verdana"/>
                <w:sz w:val="20"/>
                <w:szCs w:val="20"/>
              </w:rPr>
              <w:t>833,5</w:t>
            </w:r>
            <w:r w:rsidR="007A6E7B" w:rsidRPr="0069630A">
              <w:rPr>
                <w:rFonts w:ascii="Verdana" w:hAnsi="Verdana"/>
                <w:sz w:val="20"/>
                <w:szCs w:val="20"/>
              </w:rPr>
              <w:t xml:space="preserve"> millones equivalentes al </w:t>
            </w:r>
            <w:r w:rsidR="0069630A" w:rsidRPr="0069630A">
              <w:rPr>
                <w:rFonts w:ascii="Verdana" w:hAnsi="Verdana"/>
                <w:sz w:val="20"/>
                <w:szCs w:val="20"/>
              </w:rPr>
              <w:t>2,93</w:t>
            </w:r>
            <w:r w:rsidRPr="0069630A">
              <w:rPr>
                <w:rFonts w:ascii="Verdana" w:hAnsi="Verdana"/>
                <w:sz w:val="20"/>
                <w:szCs w:val="20"/>
              </w:rPr>
              <w:t>% del presupuesto de func</w:t>
            </w:r>
            <w:r w:rsidR="007A6E7B" w:rsidRPr="0069630A">
              <w:rPr>
                <w:rFonts w:ascii="Verdana" w:hAnsi="Verdana"/>
                <w:sz w:val="20"/>
                <w:szCs w:val="20"/>
              </w:rPr>
              <w:t xml:space="preserve">ionamiento, de una meta del </w:t>
            </w:r>
            <w:r w:rsidR="0069630A" w:rsidRPr="0069630A">
              <w:rPr>
                <w:rFonts w:ascii="Verdana" w:hAnsi="Verdana"/>
                <w:sz w:val="20"/>
                <w:szCs w:val="20"/>
              </w:rPr>
              <w:t>3,05</w:t>
            </w:r>
            <w:r w:rsidR="008C5467" w:rsidRPr="0069630A">
              <w:rPr>
                <w:rFonts w:ascii="Verdana" w:hAnsi="Verdana"/>
                <w:sz w:val="20"/>
                <w:szCs w:val="20"/>
              </w:rPr>
              <w:t xml:space="preserve">%, con un </w:t>
            </w:r>
            <w:r w:rsidR="008C5467" w:rsidRPr="0069630A">
              <w:rPr>
                <w:rFonts w:ascii="Verdana" w:hAnsi="Verdana"/>
                <w:sz w:val="20"/>
                <w:szCs w:val="20"/>
              </w:rPr>
              <w:lastRenderedPageBreak/>
              <w:t xml:space="preserve">déficit de </w:t>
            </w:r>
            <w:r w:rsidR="000B688F">
              <w:rPr>
                <w:rFonts w:ascii="Verdana" w:hAnsi="Verdana"/>
                <w:sz w:val="20"/>
                <w:szCs w:val="20"/>
              </w:rPr>
              <w:t>32,6</w:t>
            </w:r>
            <w:r w:rsidR="0069630A" w:rsidRPr="0069630A">
              <w:rPr>
                <w:rFonts w:ascii="Verdana" w:hAnsi="Verdana"/>
                <w:sz w:val="20"/>
                <w:szCs w:val="20"/>
              </w:rPr>
              <w:t xml:space="preserve"> </w:t>
            </w:r>
            <w:r w:rsidRPr="0069630A">
              <w:rPr>
                <w:rFonts w:ascii="Verdana" w:hAnsi="Verdana"/>
                <w:sz w:val="20"/>
                <w:szCs w:val="20"/>
              </w:rPr>
              <w:t xml:space="preserve">millones </w:t>
            </w:r>
            <w:r w:rsidR="0069630A" w:rsidRPr="0069630A">
              <w:rPr>
                <w:rFonts w:ascii="Verdana" w:hAnsi="Verdana"/>
                <w:sz w:val="20"/>
                <w:szCs w:val="20"/>
              </w:rPr>
              <w:t>explicado así</w:t>
            </w:r>
            <w:r w:rsidRPr="0069630A">
              <w:rPr>
                <w:rFonts w:ascii="Verdana" w:hAnsi="Verdana"/>
                <w:sz w:val="20"/>
                <w:szCs w:val="20"/>
              </w:rPr>
              <w:t>: 1</w:t>
            </w:r>
            <w:r w:rsidR="0069630A" w:rsidRPr="0069630A">
              <w:rPr>
                <w:rFonts w:ascii="Verdana" w:hAnsi="Verdana"/>
                <w:sz w:val="20"/>
                <w:szCs w:val="20"/>
              </w:rPr>
              <w:t>)Déficit en la ejecución de adquisición de bienes</w:t>
            </w:r>
            <w:r w:rsidR="000B688F">
              <w:rPr>
                <w:rFonts w:ascii="Verdana" w:hAnsi="Verdana"/>
                <w:sz w:val="20"/>
                <w:szCs w:val="20"/>
              </w:rPr>
              <w:t xml:space="preserve"> y servicios por 52,6</w:t>
            </w:r>
            <w:r w:rsidR="0069630A" w:rsidRPr="0069630A">
              <w:rPr>
                <w:rFonts w:ascii="Verdana" w:hAnsi="Verdana"/>
                <w:sz w:val="20"/>
                <w:szCs w:val="20"/>
              </w:rPr>
              <w:t xml:space="preserve"> millones</w:t>
            </w:r>
            <w:r w:rsidR="0069630A" w:rsidRPr="00A516EE">
              <w:rPr>
                <w:rFonts w:ascii="Verdana" w:hAnsi="Verdana"/>
                <w:sz w:val="20"/>
                <w:szCs w:val="20"/>
              </w:rPr>
              <w:t>; deb</w:t>
            </w:r>
            <w:r w:rsidR="0069630A">
              <w:rPr>
                <w:rFonts w:ascii="Verdana" w:hAnsi="Verdana"/>
                <w:sz w:val="20"/>
                <w:szCs w:val="20"/>
              </w:rPr>
              <w:t>ido a que se presentaron menos</w:t>
            </w:r>
            <w:r w:rsidR="0069630A" w:rsidRPr="00A516EE">
              <w:rPr>
                <w:rFonts w:ascii="Verdana" w:hAnsi="Verdana"/>
                <w:sz w:val="20"/>
                <w:szCs w:val="20"/>
              </w:rPr>
              <w:t xml:space="preserve"> comisiones de funcionarios a las contempladas para </w:t>
            </w:r>
            <w:r w:rsidR="0069630A">
              <w:rPr>
                <w:rFonts w:ascii="Verdana" w:hAnsi="Verdana"/>
                <w:sz w:val="20"/>
                <w:szCs w:val="20"/>
              </w:rPr>
              <w:t>este mes, generando un ahorro en lo que se había dispuesto para el pago de viáticos</w:t>
            </w:r>
            <w:r w:rsidR="0069630A" w:rsidRPr="00A516EE">
              <w:rPr>
                <w:rFonts w:ascii="Verdana" w:hAnsi="Verdana"/>
                <w:sz w:val="20"/>
                <w:szCs w:val="20"/>
              </w:rPr>
              <w:t xml:space="preserve"> y</w:t>
            </w:r>
            <w:r w:rsidR="0069630A">
              <w:rPr>
                <w:rFonts w:ascii="Verdana" w:hAnsi="Verdana"/>
                <w:sz w:val="20"/>
                <w:szCs w:val="20"/>
              </w:rPr>
              <w:t>,</w:t>
            </w:r>
            <w:r w:rsidR="0069630A" w:rsidRPr="00A516EE">
              <w:rPr>
                <w:rFonts w:ascii="Verdana" w:hAnsi="Verdana"/>
                <w:sz w:val="20"/>
                <w:szCs w:val="20"/>
              </w:rPr>
              <w:t xml:space="preserve"> a que no se hicieron todas las contrataciones previstas por presta</w:t>
            </w:r>
            <w:r w:rsidR="0069630A">
              <w:rPr>
                <w:rFonts w:ascii="Verdana" w:hAnsi="Verdana"/>
                <w:sz w:val="20"/>
                <w:szCs w:val="20"/>
              </w:rPr>
              <w:t xml:space="preserve">ción de servicios profesionales. </w:t>
            </w:r>
            <w:r w:rsidR="0069630A" w:rsidRPr="00EC78A2">
              <w:rPr>
                <w:rFonts w:ascii="Verdana" w:hAnsi="Verdana"/>
                <w:sz w:val="20"/>
                <w:szCs w:val="20"/>
              </w:rPr>
              <w:t>2)</w:t>
            </w:r>
            <w:r w:rsidR="0069630A" w:rsidRPr="00EC78A2">
              <w:rPr>
                <w:rFonts w:ascii="Verdana" w:hAnsi="Verdana"/>
                <w:iCs/>
                <w:sz w:val="20"/>
                <w:szCs w:val="20"/>
                <w:lang w:val="es-ES"/>
              </w:rPr>
              <w:t xml:space="preserve"> Superávit en ejecución de transferencias corrientes por </w:t>
            </w:r>
            <w:r w:rsidR="000B688F">
              <w:rPr>
                <w:rFonts w:ascii="Verdana" w:hAnsi="Verdana"/>
                <w:iCs/>
                <w:sz w:val="20"/>
                <w:szCs w:val="20"/>
                <w:lang w:val="es-ES"/>
              </w:rPr>
              <w:t>20,0</w:t>
            </w:r>
            <w:r w:rsidR="0069630A" w:rsidRPr="00EC78A2">
              <w:rPr>
                <w:rFonts w:ascii="Verdana" w:hAnsi="Verdana"/>
                <w:iCs/>
                <w:sz w:val="20"/>
                <w:szCs w:val="20"/>
                <w:lang w:val="es-ES"/>
              </w:rPr>
              <w:t xml:space="preserve"> millones, para cubrir gastos de viaje a participantes de una actividad </w:t>
            </w:r>
            <w:r w:rsidR="0069630A" w:rsidRPr="00EC78A2">
              <w:rPr>
                <w:rFonts w:ascii="Verdana" w:hAnsi="Verdana"/>
                <w:iCs/>
                <w:sz w:val="20"/>
                <w:szCs w:val="20"/>
                <w:lang w:val="es-CO"/>
              </w:rPr>
              <w:t>realizada en el marco de un proyecto de cooperación internacional</w:t>
            </w:r>
            <w:r w:rsidR="0069630A" w:rsidRPr="00EC78A2">
              <w:rPr>
                <w:rFonts w:ascii="Verdana" w:hAnsi="Verdana"/>
                <w:iCs/>
                <w:sz w:val="20"/>
                <w:szCs w:val="20"/>
                <w:lang w:val="es-ES"/>
              </w:rPr>
              <w:t>, con recursos provenientes del FOCAI.</w:t>
            </w:r>
          </w:p>
          <w:p w:rsidR="0069630A" w:rsidRPr="00291F1C" w:rsidRDefault="0069630A" w:rsidP="00A81738">
            <w:pPr>
              <w:jc w:val="both"/>
              <w:rPr>
                <w:rFonts w:ascii="Verdana" w:hAnsi="Verdana"/>
                <w:sz w:val="20"/>
                <w:szCs w:val="20"/>
                <w:highlight w:val="yellow"/>
              </w:rPr>
            </w:pPr>
          </w:p>
          <w:p w:rsidR="007A6E7B" w:rsidRPr="0069630A" w:rsidRDefault="007A6E7B" w:rsidP="007A6E7B">
            <w:pPr>
              <w:jc w:val="both"/>
              <w:rPr>
                <w:rFonts w:ascii="Verdana" w:hAnsi="Verdana"/>
                <w:sz w:val="20"/>
                <w:szCs w:val="20"/>
              </w:rPr>
            </w:pPr>
            <w:r w:rsidRPr="0069630A">
              <w:rPr>
                <w:rFonts w:ascii="Verdana" w:hAnsi="Verdana"/>
                <w:sz w:val="20"/>
                <w:szCs w:val="20"/>
              </w:rPr>
              <w:t>La ejecución en funcionamiento se distribuyó así:</w:t>
            </w:r>
          </w:p>
          <w:p w:rsidR="007A6E7B" w:rsidRPr="0069630A" w:rsidRDefault="007A6E7B" w:rsidP="007A6E7B">
            <w:pPr>
              <w:jc w:val="both"/>
              <w:rPr>
                <w:rFonts w:ascii="Verdana" w:hAnsi="Verdana"/>
                <w:sz w:val="20"/>
                <w:szCs w:val="20"/>
              </w:rPr>
            </w:pPr>
          </w:p>
          <w:p w:rsidR="00FB5A3A" w:rsidRDefault="003A6AFB" w:rsidP="00FB5A3A">
            <w:pPr>
              <w:jc w:val="both"/>
              <w:rPr>
                <w:rFonts w:ascii="Verdana" w:hAnsi="Verdana"/>
                <w:sz w:val="20"/>
                <w:szCs w:val="20"/>
              </w:rPr>
            </w:pPr>
            <w:r>
              <w:rPr>
                <w:rFonts w:ascii="Verdana" w:hAnsi="Verdana"/>
                <w:sz w:val="20"/>
                <w:szCs w:val="20"/>
              </w:rPr>
              <w:t xml:space="preserve">1) </w:t>
            </w:r>
            <w:r w:rsidR="00FB5A3A" w:rsidRPr="0069630A">
              <w:rPr>
                <w:rFonts w:ascii="Verdana" w:hAnsi="Verdana"/>
                <w:sz w:val="20"/>
                <w:szCs w:val="20"/>
              </w:rPr>
              <w:t xml:space="preserve">Gastos de personal con el </w:t>
            </w:r>
            <w:r>
              <w:rPr>
                <w:rFonts w:ascii="Verdana" w:hAnsi="Verdana"/>
                <w:sz w:val="20"/>
                <w:szCs w:val="20"/>
              </w:rPr>
              <w:t>66,62</w:t>
            </w:r>
            <w:r w:rsidR="000B688F">
              <w:rPr>
                <w:rFonts w:ascii="Verdana" w:hAnsi="Verdana"/>
                <w:sz w:val="20"/>
                <w:szCs w:val="20"/>
              </w:rPr>
              <w:t>%.</w:t>
            </w:r>
          </w:p>
          <w:p w:rsidR="003A6AFB" w:rsidRDefault="003A6AFB" w:rsidP="003A6AFB">
            <w:pPr>
              <w:jc w:val="both"/>
              <w:rPr>
                <w:rFonts w:ascii="Verdana" w:hAnsi="Verdana"/>
                <w:sz w:val="20"/>
                <w:szCs w:val="20"/>
              </w:rPr>
            </w:pPr>
            <w:r>
              <w:rPr>
                <w:rFonts w:ascii="Verdana" w:hAnsi="Verdana"/>
                <w:sz w:val="20"/>
                <w:szCs w:val="20"/>
              </w:rPr>
              <w:t xml:space="preserve">2) </w:t>
            </w:r>
            <w:r w:rsidRPr="006D212E">
              <w:rPr>
                <w:rFonts w:ascii="Verdana" w:hAnsi="Verdana"/>
                <w:sz w:val="20"/>
                <w:szCs w:val="20"/>
              </w:rPr>
              <w:t xml:space="preserve">Transferencias corrientes con el </w:t>
            </w:r>
            <w:r>
              <w:rPr>
                <w:rFonts w:ascii="Verdana" w:hAnsi="Verdana"/>
                <w:sz w:val="20"/>
                <w:szCs w:val="20"/>
              </w:rPr>
              <w:t xml:space="preserve">2,40% en su totalidad correspondientes a gastos del </w:t>
            </w:r>
            <w:r w:rsidRPr="004A6809">
              <w:rPr>
                <w:rFonts w:ascii="Verdana" w:hAnsi="Verdana"/>
                <w:sz w:val="20"/>
                <w:szCs w:val="20"/>
              </w:rPr>
              <w:t>Fondo de Cooperación y Asistencia Internacional – FOCAI</w:t>
            </w:r>
            <w:r>
              <w:rPr>
                <w:rFonts w:ascii="Verdana" w:hAnsi="Verdana"/>
                <w:sz w:val="20"/>
                <w:szCs w:val="20"/>
              </w:rPr>
              <w:t>.</w:t>
            </w:r>
          </w:p>
          <w:p w:rsidR="00873972" w:rsidRPr="00116FC5" w:rsidRDefault="003A6AFB" w:rsidP="00867334">
            <w:pPr>
              <w:jc w:val="both"/>
              <w:rPr>
                <w:rFonts w:ascii="Verdana" w:hAnsi="Verdana"/>
                <w:sz w:val="20"/>
                <w:szCs w:val="20"/>
              </w:rPr>
            </w:pPr>
            <w:r w:rsidRPr="006D212E">
              <w:rPr>
                <w:rFonts w:ascii="Verdana" w:hAnsi="Verdana"/>
                <w:sz w:val="20"/>
                <w:szCs w:val="20"/>
              </w:rPr>
              <w:t xml:space="preserve">3) </w:t>
            </w:r>
            <w:r>
              <w:rPr>
                <w:rFonts w:ascii="Verdana" w:hAnsi="Verdana"/>
                <w:sz w:val="20"/>
                <w:szCs w:val="20"/>
              </w:rPr>
              <w:t>Gastos por adquisición de bienes y servicios</w:t>
            </w:r>
            <w:r w:rsidRPr="006D212E">
              <w:rPr>
                <w:rFonts w:ascii="Verdana" w:hAnsi="Verdana"/>
                <w:sz w:val="20"/>
                <w:szCs w:val="20"/>
              </w:rPr>
              <w:t xml:space="preserve"> con el </w:t>
            </w:r>
            <w:r>
              <w:rPr>
                <w:rFonts w:ascii="Verdana" w:hAnsi="Verdana"/>
                <w:sz w:val="20"/>
                <w:szCs w:val="20"/>
              </w:rPr>
              <w:t>30,98</w:t>
            </w:r>
            <w:r w:rsidRPr="006D212E">
              <w:rPr>
                <w:rFonts w:ascii="Verdana" w:hAnsi="Verdana"/>
                <w:sz w:val="20"/>
                <w:szCs w:val="20"/>
              </w:rPr>
              <w:t>%.</w:t>
            </w:r>
          </w:p>
        </w:tc>
      </w:tr>
    </w:tbl>
    <w:p w:rsidR="00873972" w:rsidRPr="003C58A7" w:rsidRDefault="003C58A7" w:rsidP="003C58A7">
      <w:pPr>
        <w:tabs>
          <w:tab w:val="left" w:pos="1110"/>
        </w:tabs>
        <w:rPr>
          <w:rFonts w:ascii="Verdana" w:hAnsi="Verdana"/>
          <w:sz w:val="20"/>
          <w:szCs w:val="20"/>
        </w:rPr>
      </w:pPr>
      <w:r>
        <w:rPr>
          <w:rFonts w:ascii="Verdana" w:hAnsi="Verdana"/>
          <w:sz w:val="20"/>
          <w:szCs w:val="20"/>
        </w:rPr>
        <w:lastRenderedPageBreak/>
        <w:tab/>
      </w:r>
    </w:p>
    <w:p w:rsidR="00873972" w:rsidRPr="003C58A7" w:rsidRDefault="00873972" w:rsidP="00B41CB3">
      <w:pPr>
        <w:rPr>
          <w:rFonts w:ascii="Verdana" w:hAnsi="Verdana"/>
          <w:b/>
          <w:sz w:val="22"/>
          <w:szCs w:val="20"/>
        </w:rPr>
      </w:pPr>
      <w:r w:rsidRPr="003C58A7">
        <w:rPr>
          <w:rFonts w:ascii="Verdana" w:hAnsi="Verdana"/>
          <w:b/>
          <w:sz w:val="22"/>
          <w:szCs w:val="20"/>
        </w:rPr>
        <w:t>Gastos de Personal</w:t>
      </w:r>
    </w:p>
    <w:tbl>
      <w:tblPr>
        <w:tblStyle w:val="Tablaconcuadrcula"/>
        <w:tblW w:w="0" w:type="auto"/>
        <w:tblLook w:val="04A0" w:firstRow="1" w:lastRow="0" w:firstColumn="1" w:lastColumn="0" w:noHBand="0" w:noVBand="1"/>
      </w:tblPr>
      <w:tblGrid>
        <w:gridCol w:w="6638"/>
        <w:gridCol w:w="6640"/>
      </w:tblGrid>
      <w:tr w:rsidR="003F2322" w:rsidRPr="003C58A7" w:rsidTr="00273008">
        <w:tc>
          <w:tcPr>
            <w:tcW w:w="6638" w:type="dxa"/>
            <w:shd w:val="clear" w:color="auto" w:fill="auto"/>
          </w:tcPr>
          <w:p w:rsidR="003F2322" w:rsidRPr="003C58A7" w:rsidRDefault="003F2322" w:rsidP="00B41CB3">
            <w:pPr>
              <w:jc w:val="center"/>
              <w:rPr>
                <w:rFonts w:ascii="Verdana" w:hAnsi="Verdana"/>
                <w:b/>
                <w:sz w:val="22"/>
                <w:szCs w:val="20"/>
              </w:rPr>
            </w:pPr>
            <w:r w:rsidRPr="003C58A7">
              <w:rPr>
                <w:rFonts w:ascii="Verdana" w:hAnsi="Verdana"/>
                <w:b/>
                <w:sz w:val="22"/>
                <w:szCs w:val="20"/>
              </w:rPr>
              <w:t>Compromisos</w:t>
            </w:r>
          </w:p>
        </w:tc>
        <w:tc>
          <w:tcPr>
            <w:tcW w:w="6640" w:type="dxa"/>
            <w:shd w:val="clear" w:color="auto" w:fill="auto"/>
          </w:tcPr>
          <w:p w:rsidR="003F2322" w:rsidRPr="003C58A7" w:rsidRDefault="003F2322" w:rsidP="00B41CB3">
            <w:pPr>
              <w:jc w:val="center"/>
              <w:rPr>
                <w:rFonts w:ascii="Verdana" w:hAnsi="Verdana"/>
                <w:b/>
                <w:sz w:val="22"/>
                <w:szCs w:val="20"/>
              </w:rPr>
            </w:pPr>
            <w:r w:rsidRPr="003C58A7">
              <w:rPr>
                <w:rFonts w:ascii="Verdana" w:hAnsi="Verdana"/>
                <w:b/>
                <w:sz w:val="22"/>
                <w:szCs w:val="20"/>
              </w:rPr>
              <w:t>Obligaciones</w:t>
            </w:r>
          </w:p>
        </w:tc>
      </w:tr>
      <w:tr w:rsidR="00873972" w:rsidRPr="00AB640F" w:rsidTr="00273008">
        <w:tc>
          <w:tcPr>
            <w:tcW w:w="6638" w:type="dxa"/>
            <w:shd w:val="clear" w:color="auto" w:fill="auto"/>
            <w:vAlign w:val="center"/>
          </w:tcPr>
          <w:p w:rsidR="00A81738" w:rsidRPr="00E86A85" w:rsidRDefault="00A81738" w:rsidP="00A81738">
            <w:pPr>
              <w:jc w:val="both"/>
              <w:rPr>
                <w:rFonts w:ascii="Verdana" w:eastAsia="Times New Roman" w:hAnsi="Verdana" w:cs="Times New Roman"/>
                <w:sz w:val="20"/>
                <w:szCs w:val="20"/>
              </w:rPr>
            </w:pPr>
            <w:r w:rsidRPr="00E86A85">
              <w:rPr>
                <w:rFonts w:ascii="Verdana" w:eastAsia="Times New Roman" w:hAnsi="Verdana" w:cs="Times New Roman"/>
                <w:b/>
                <w:sz w:val="20"/>
                <w:szCs w:val="20"/>
              </w:rPr>
              <w:t>Indicador:</w:t>
            </w:r>
            <w:r w:rsidRPr="00E86A85">
              <w:rPr>
                <w:rFonts w:ascii="Verdana" w:eastAsia="Times New Roman" w:hAnsi="Verdana" w:cs="Times New Roman"/>
                <w:sz w:val="20"/>
                <w:szCs w:val="20"/>
              </w:rPr>
              <w:t xml:space="preserve"> Ejecución Compromisos / Apropiación Vigente.</w:t>
            </w:r>
          </w:p>
          <w:p w:rsidR="00A81738" w:rsidRPr="00E86A85" w:rsidRDefault="00A81738" w:rsidP="00A81738">
            <w:pPr>
              <w:jc w:val="both"/>
              <w:rPr>
                <w:rFonts w:ascii="Verdana" w:eastAsia="Times New Roman" w:hAnsi="Verdana" w:cs="Times New Roman"/>
                <w:sz w:val="20"/>
                <w:szCs w:val="20"/>
              </w:rPr>
            </w:pPr>
            <w:r w:rsidRPr="00E86A85">
              <w:rPr>
                <w:rFonts w:ascii="Verdana" w:eastAsia="Times New Roman" w:hAnsi="Verdana" w:cs="Times New Roman"/>
                <w:b/>
                <w:sz w:val="20"/>
                <w:szCs w:val="20"/>
              </w:rPr>
              <w:t>Indicador:</w:t>
            </w:r>
            <w:r w:rsidR="00B378AF" w:rsidRPr="00E86A85">
              <w:rPr>
                <w:rFonts w:ascii="Verdana" w:eastAsia="Times New Roman" w:hAnsi="Verdana" w:cs="Times New Roman"/>
                <w:sz w:val="20"/>
                <w:szCs w:val="20"/>
              </w:rPr>
              <w:t xml:space="preserve"> </w:t>
            </w:r>
            <w:r w:rsidR="00A07B48">
              <w:rPr>
                <w:rFonts w:ascii="Verdana" w:eastAsia="Times New Roman" w:hAnsi="Verdana" w:cs="Times New Roman"/>
                <w:sz w:val="20"/>
                <w:szCs w:val="20"/>
              </w:rPr>
              <w:t xml:space="preserve">555,2 </w:t>
            </w:r>
            <w:r w:rsidR="009F7DB7" w:rsidRPr="00E86A85">
              <w:rPr>
                <w:rFonts w:ascii="Verdana" w:eastAsia="Times New Roman" w:hAnsi="Verdana" w:cs="Times New Roman"/>
                <w:sz w:val="20"/>
                <w:szCs w:val="20"/>
              </w:rPr>
              <w:t xml:space="preserve">/ </w:t>
            </w:r>
            <w:r w:rsidR="00A07B48">
              <w:rPr>
                <w:rFonts w:ascii="Verdana" w:eastAsia="Times New Roman" w:hAnsi="Verdana" w:cs="Times New Roman"/>
                <w:sz w:val="20"/>
                <w:szCs w:val="20"/>
              </w:rPr>
              <w:t>9</w:t>
            </w:r>
            <w:r w:rsidR="003C51CF">
              <w:rPr>
                <w:rFonts w:ascii="Verdana" w:eastAsia="Times New Roman" w:hAnsi="Verdana" w:cs="Times New Roman"/>
                <w:sz w:val="20"/>
                <w:szCs w:val="20"/>
              </w:rPr>
              <w:t>.</w:t>
            </w:r>
            <w:r w:rsidR="00A07B48">
              <w:rPr>
                <w:rFonts w:ascii="Verdana" w:eastAsia="Times New Roman" w:hAnsi="Verdana" w:cs="Times New Roman"/>
                <w:sz w:val="20"/>
                <w:szCs w:val="20"/>
              </w:rPr>
              <w:t>548,0</w:t>
            </w:r>
            <w:r w:rsidR="009F7DB7" w:rsidRPr="00E86A85">
              <w:rPr>
                <w:rFonts w:ascii="Verdana" w:eastAsia="Times New Roman" w:hAnsi="Verdana" w:cs="Times New Roman"/>
                <w:sz w:val="20"/>
                <w:szCs w:val="20"/>
              </w:rPr>
              <w:t xml:space="preserve"> = </w:t>
            </w:r>
            <w:r w:rsidR="00A07B48">
              <w:rPr>
                <w:rFonts w:ascii="Verdana" w:eastAsia="Times New Roman" w:hAnsi="Verdana" w:cs="Times New Roman"/>
                <w:sz w:val="20"/>
                <w:szCs w:val="20"/>
              </w:rPr>
              <w:t>5,81</w:t>
            </w:r>
            <w:r w:rsidRPr="00E86A85">
              <w:rPr>
                <w:rFonts w:ascii="Verdana" w:eastAsia="Times New Roman" w:hAnsi="Verdana" w:cs="Times New Roman"/>
                <w:sz w:val="20"/>
                <w:szCs w:val="20"/>
              </w:rPr>
              <w:t>%.</w:t>
            </w:r>
          </w:p>
          <w:p w:rsidR="00A81738" w:rsidRPr="00AB640F" w:rsidRDefault="00A81738" w:rsidP="00A81738">
            <w:pPr>
              <w:jc w:val="both"/>
              <w:rPr>
                <w:rFonts w:ascii="Verdana" w:eastAsia="Times New Roman" w:hAnsi="Verdana" w:cs="Times New Roman"/>
                <w:sz w:val="20"/>
                <w:szCs w:val="20"/>
                <w:highlight w:val="yellow"/>
              </w:rPr>
            </w:pPr>
          </w:p>
          <w:p w:rsidR="00873972" w:rsidRPr="00AB640F" w:rsidRDefault="00A81738" w:rsidP="00A07B48">
            <w:pPr>
              <w:jc w:val="both"/>
              <w:rPr>
                <w:rFonts w:ascii="Verdana" w:hAnsi="Verdana"/>
                <w:sz w:val="20"/>
                <w:szCs w:val="20"/>
                <w:highlight w:val="yellow"/>
              </w:rPr>
            </w:pPr>
            <w:r w:rsidRPr="00A07B48">
              <w:rPr>
                <w:rFonts w:ascii="Verdana" w:eastAsia="Times New Roman" w:hAnsi="Verdana" w:cs="Times New Roman"/>
                <w:sz w:val="20"/>
                <w:szCs w:val="20"/>
              </w:rPr>
              <w:t xml:space="preserve">El total de los compromisos de los gastos de personal alcanzó el </w:t>
            </w:r>
            <w:r w:rsidR="00A07B48" w:rsidRPr="00A07B48">
              <w:rPr>
                <w:rFonts w:ascii="Verdana" w:eastAsia="Times New Roman" w:hAnsi="Verdana" w:cs="Times New Roman"/>
                <w:sz w:val="20"/>
                <w:szCs w:val="20"/>
              </w:rPr>
              <w:t>5,81</w:t>
            </w:r>
            <w:r w:rsidRPr="00A07B48">
              <w:rPr>
                <w:rFonts w:ascii="Verdana" w:eastAsia="Times New Roman" w:hAnsi="Verdana" w:cs="Times New Roman"/>
                <w:sz w:val="20"/>
                <w:szCs w:val="20"/>
              </w:rPr>
              <w:t xml:space="preserve">% equivalente a </w:t>
            </w:r>
            <w:r w:rsidR="00A07B48" w:rsidRPr="00A07B48">
              <w:rPr>
                <w:rFonts w:ascii="Verdana" w:eastAsia="Times New Roman" w:hAnsi="Verdana" w:cs="Times New Roman"/>
                <w:sz w:val="20"/>
                <w:szCs w:val="20"/>
              </w:rPr>
              <w:t>555,2</w:t>
            </w:r>
            <w:r w:rsidRPr="00A07B48">
              <w:rPr>
                <w:rFonts w:ascii="Verdana" w:eastAsia="Times New Roman" w:hAnsi="Verdana" w:cs="Times New Roman"/>
                <w:sz w:val="20"/>
                <w:szCs w:val="20"/>
              </w:rPr>
              <w:t xml:space="preserve"> millones de una apropiación vigente de 9.</w:t>
            </w:r>
            <w:r w:rsidR="00A07B48" w:rsidRPr="00A07B48">
              <w:rPr>
                <w:rFonts w:ascii="Verdana" w:eastAsia="Times New Roman" w:hAnsi="Verdana" w:cs="Times New Roman"/>
                <w:sz w:val="20"/>
                <w:szCs w:val="20"/>
              </w:rPr>
              <w:t>548,0</w:t>
            </w:r>
            <w:r w:rsidRPr="00A07B48">
              <w:rPr>
                <w:rFonts w:ascii="Verdana" w:eastAsia="Times New Roman" w:hAnsi="Verdana" w:cs="Times New Roman"/>
                <w:sz w:val="20"/>
                <w:szCs w:val="20"/>
              </w:rPr>
              <w:t xml:space="preserve"> millones, frente a una meta de ejecución del </w:t>
            </w:r>
            <w:r w:rsidR="00A07B48" w:rsidRPr="00A07B48">
              <w:rPr>
                <w:rFonts w:ascii="Verdana" w:eastAsia="Times New Roman" w:hAnsi="Verdana" w:cs="Times New Roman"/>
                <w:sz w:val="20"/>
                <w:szCs w:val="20"/>
              </w:rPr>
              <w:t>5,81</w:t>
            </w:r>
            <w:r w:rsidR="00A07B48">
              <w:rPr>
                <w:rFonts w:ascii="Verdana" w:eastAsia="Times New Roman" w:hAnsi="Verdana" w:cs="Times New Roman"/>
                <w:sz w:val="20"/>
                <w:szCs w:val="20"/>
              </w:rPr>
              <w:t>%, cumpliéndose en su totalidad</w:t>
            </w:r>
            <w:r w:rsidRPr="00A07B48">
              <w:rPr>
                <w:rFonts w:ascii="Verdana" w:eastAsia="Times New Roman" w:hAnsi="Verdana" w:cs="Times New Roman"/>
                <w:sz w:val="20"/>
                <w:szCs w:val="20"/>
              </w:rPr>
              <w:t xml:space="preserve">. De los compromisos de gastos de personal, el </w:t>
            </w:r>
            <w:r w:rsidR="00A07B48">
              <w:rPr>
                <w:rFonts w:ascii="Verdana" w:eastAsia="Times New Roman" w:hAnsi="Verdana" w:cs="Times New Roman"/>
                <w:sz w:val="20"/>
                <w:szCs w:val="20"/>
              </w:rPr>
              <w:t>66,34</w:t>
            </w:r>
            <w:r w:rsidRPr="00A07B48">
              <w:rPr>
                <w:rFonts w:ascii="Verdana" w:eastAsia="Times New Roman" w:hAnsi="Verdana" w:cs="Times New Roman"/>
                <w:sz w:val="20"/>
                <w:szCs w:val="20"/>
              </w:rPr>
              <w:t xml:space="preserve">% corresponde a gastos asociados </w:t>
            </w:r>
            <w:r w:rsidR="00A07B48">
              <w:rPr>
                <w:rFonts w:ascii="Verdana" w:eastAsia="Times New Roman" w:hAnsi="Verdana" w:cs="Times New Roman"/>
                <w:sz w:val="20"/>
                <w:szCs w:val="20"/>
              </w:rPr>
              <w:t xml:space="preserve">al salario, el 27,10% a gastos por </w:t>
            </w:r>
            <w:r w:rsidR="00A07B48" w:rsidRPr="00A07B48">
              <w:rPr>
                <w:rFonts w:ascii="Verdana" w:eastAsia="Times New Roman" w:hAnsi="Verdana" w:cs="Times New Roman"/>
                <w:sz w:val="20"/>
                <w:szCs w:val="20"/>
              </w:rPr>
              <w:t>contribuciones inherentes a la nómina</w:t>
            </w:r>
            <w:r w:rsidR="00A07B48">
              <w:rPr>
                <w:rFonts w:ascii="Verdana" w:eastAsia="Times New Roman" w:hAnsi="Verdana" w:cs="Times New Roman"/>
                <w:sz w:val="20"/>
                <w:szCs w:val="20"/>
              </w:rPr>
              <w:t xml:space="preserve"> </w:t>
            </w:r>
            <w:r w:rsidR="006F19B4" w:rsidRPr="00A07B48">
              <w:rPr>
                <w:rFonts w:ascii="Verdana" w:eastAsia="Times New Roman" w:hAnsi="Verdana" w:cs="Times New Roman"/>
                <w:sz w:val="20"/>
                <w:szCs w:val="20"/>
              </w:rPr>
              <w:t xml:space="preserve">y </w:t>
            </w:r>
            <w:r w:rsidR="006F19B4" w:rsidRPr="00A07B48">
              <w:rPr>
                <w:rFonts w:ascii="Verdana" w:eastAsia="Times New Roman" w:hAnsi="Verdana" w:cs="Times New Roman"/>
                <w:sz w:val="20"/>
                <w:szCs w:val="20"/>
              </w:rPr>
              <w:lastRenderedPageBreak/>
              <w:t xml:space="preserve">el </w:t>
            </w:r>
            <w:r w:rsidR="00A07B48">
              <w:rPr>
                <w:rFonts w:ascii="Verdana" w:eastAsia="Times New Roman" w:hAnsi="Verdana" w:cs="Times New Roman"/>
                <w:sz w:val="20"/>
                <w:szCs w:val="20"/>
              </w:rPr>
              <w:t>6,56</w:t>
            </w:r>
            <w:r w:rsidRPr="00A07B48">
              <w:rPr>
                <w:rFonts w:ascii="Verdana" w:eastAsia="Times New Roman" w:hAnsi="Verdana" w:cs="Times New Roman"/>
                <w:sz w:val="20"/>
                <w:szCs w:val="20"/>
              </w:rPr>
              <w:t>% restante</w:t>
            </w:r>
            <w:r w:rsidR="00A07B48">
              <w:rPr>
                <w:rFonts w:ascii="Verdana" w:eastAsia="Times New Roman" w:hAnsi="Verdana" w:cs="Times New Roman"/>
                <w:sz w:val="20"/>
                <w:szCs w:val="20"/>
              </w:rPr>
              <w:t>,</w:t>
            </w:r>
            <w:r w:rsidRPr="00A07B48">
              <w:rPr>
                <w:rFonts w:ascii="Verdana" w:eastAsia="Times New Roman" w:hAnsi="Verdana" w:cs="Times New Roman"/>
                <w:sz w:val="20"/>
                <w:szCs w:val="20"/>
              </w:rPr>
              <w:t xml:space="preserve"> </w:t>
            </w:r>
            <w:r w:rsidR="00A07B48">
              <w:rPr>
                <w:rFonts w:ascii="Verdana" w:eastAsia="Times New Roman" w:hAnsi="Verdana" w:cs="Times New Roman"/>
                <w:sz w:val="20"/>
                <w:szCs w:val="20"/>
              </w:rPr>
              <w:t>corresponde</w:t>
            </w:r>
            <w:r w:rsidRPr="00A07B48">
              <w:rPr>
                <w:rFonts w:ascii="Verdana" w:eastAsia="Times New Roman" w:hAnsi="Verdana" w:cs="Times New Roman"/>
                <w:sz w:val="20"/>
                <w:szCs w:val="20"/>
              </w:rPr>
              <w:t xml:space="preserve"> a </w:t>
            </w:r>
            <w:r w:rsidR="00A07B48" w:rsidRPr="00A07B48">
              <w:rPr>
                <w:rFonts w:ascii="Verdana" w:eastAsia="Times New Roman" w:hAnsi="Verdana" w:cs="Times New Roman"/>
                <w:sz w:val="20"/>
                <w:szCs w:val="20"/>
              </w:rPr>
              <w:t>remuneraciones no constitutivas de factor salarial</w:t>
            </w:r>
            <w:r w:rsidR="00A07B48">
              <w:rPr>
                <w:rFonts w:ascii="Verdana" w:eastAsia="Times New Roman" w:hAnsi="Verdana" w:cs="Times New Roman"/>
                <w:sz w:val="20"/>
                <w:szCs w:val="20"/>
              </w:rPr>
              <w:t>.</w:t>
            </w:r>
          </w:p>
        </w:tc>
        <w:tc>
          <w:tcPr>
            <w:tcW w:w="6640" w:type="dxa"/>
            <w:shd w:val="clear" w:color="auto" w:fill="auto"/>
            <w:vAlign w:val="center"/>
          </w:tcPr>
          <w:p w:rsidR="00A81738" w:rsidRPr="00E86A85" w:rsidRDefault="00A81738" w:rsidP="00A81738">
            <w:pPr>
              <w:jc w:val="both"/>
              <w:rPr>
                <w:rFonts w:ascii="Verdana" w:eastAsia="Times New Roman" w:hAnsi="Verdana" w:cs="Times New Roman"/>
                <w:sz w:val="20"/>
                <w:szCs w:val="20"/>
              </w:rPr>
            </w:pPr>
            <w:r w:rsidRPr="00E86A85">
              <w:rPr>
                <w:rFonts w:ascii="Verdana" w:eastAsia="Times New Roman" w:hAnsi="Verdana" w:cs="Times New Roman"/>
                <w:b/>
                <w:sz w:val="20"/>
                <w:szCs w:val="20"/>
              </w:rPr>
              <w:lastRenderedPageBreak/>
              <w:t>Indicador:</w:t>
            </w:r>
            <w:r w:rsidRPr="00E86A85">
              <w:rPr>
                <w:rFonts w:ascii="Verdana" w:eastAsia="Times New Roman" w:hAnsi="Verdana" w:cs="Times New Roman"/>
                <w:sz w:val="20"/>
                <w:szCs w:val="20"/>
              </w:rPr>
              <w:t xml:space="preserve"> Ejecución Obligaciones / Apropiación Vigente.</w:t>
            </w:r>
          </w:p>
          <w:p w:rsidR="00A81738" w:rsidRDefault="006F19B4" w:rsidP="00A81738">
            <w:pPr>
              <w:jc w:val="both"/>
              <w:rPr>
                <w:rFonts w:ascii="Verdana" w:eastAsia="Times New Roman" w:hAnsi="Verdana" w:cs="Times New Roman"/>
                <w:sz w:val="20"/>
                <w:szCs w:val="20"/>
              </w:rPr>
            </w:pPr>
            <w:r w:rsidRPr="00E86A85">
              <w:rPr>
                <w:rFonts w:ascii="Verdana" w:eastAsia="Times New Roman" w:hAnsi="Verdana" w:cs="Times New Roman"/>
                <w:b/>
                <w:sz w:val="20"/>
                <w:szCs w:val="20"/>
              </w:rPr>
              <w:t>Indicador:</w:t>
            </w:r>
            <w:r w:rsidR="00B36B6E" w:rsidRPr="00E86A85">
              <w:rPr>
                <w:rFonts w:ascii="Verdana" w:eastAsia="Times New Roman" w:hAnsi="Verdana" w:cs="Times New Roman"/>
                <w:sz w:val="20"/>
                <w:szCs w:val="20"/>
              </w:rPr>
              <w:t xml:space="preserve"> </w:t>
            </w:r>
            <w:r w:rsidR="003C51CF">
              <w:rPr>
                <w:rFonts w:ascii="Verdana" w:eastAsia="Times New Roman" w:hAnsi="Verdana" w:cs="Times New Roman"/>
                <w:sz w:val="20"/>
                <w:szCs w:val="20"/>
              </w:rPr>
              <w:t xml:space="preserve">555,2 </w:t>
            </w:r>
            <w:r w:rsidR="003C51CF" w:rsidRPr="00E86A85">
              <w:rPr>
                <w:rFonts w:ascii="Verdana" w:eastAsia="Times New Roman" w:hAnsi="Verdana" w:cs="Times New Roman"/>
                <w:sz w:val="20"/>
                <w:szCs w:val="20"/>
              </w:rPr>
              <w:t xml:space="preserve">/ </w:t>
            </w:r>
            <w:r w:rsidR="003C51CF">
              <w:rPr>
                <w:rFonts w:ascii="Verdana" w:eastAsia="Times New Roman" w:hAnsi="Verdana" w:cs="Times New Roman"/>
                <w:sz w:val="20"/>
                <w:szCs w:val="20"/>
              </w:rPr>
              <w:t>9.548,0</w:t>
            </w:r>
            <w:r w:rsidR="003C51CF" w:rsidRPr="00E86A85">
              <w:rPr>
                <w:rFonts w:ascii="Verdana" w:eastAsia="Times New Roman" w:hAnsi="Verdana" w:cs="Times New Roman"/>
                <w:sz w:val="20"/>
                <w:szCs w:val="20"/>
              </w:rPr>
              <w:t xml:space="preserve"> = </w:t>
            </w:r>
            <w:r w:rsidR="003C51CF">
              <w:rPr>
                <w:rFonts w:ascii="Verdana" w:eastAsia="Times New Roman" w:hAnsi="Verdana" w:cs="Times New Roman"/>
                <w:sz w:val="20"/>
                <w:szCs w:val="20"/>
              </w:rPr>
              <w:t>5,81</w:t>
            </w:r>
            <w:r w:rsidR="003C51CF" w:rsidRPr="00E86A85">
              <w:rPr>
                <w:rFonts w:ascii="Verdana" w:eastAsia="Times New Roman" w:hAnsi="Verdana" w:cs="Times New Roman"/>
                <w:sz w:val="20"/>
                <w:szCs w:val="20"/>
              </w:rPr>
              <w:t>%.</w:t>
            </w:r>
          </w:p>
          <w:p w:rsidR="003C51CF" w:rsidRPr="00AB640F" w:rsidRDefault="003C51CF" w:rsidP="00A81738">
            <w:pPr>
              <w:jc w:val="both"/>
              <w:rPr>
                <w:rFonts w:ascii="Verdana" w:eastAsia="Times New Roman" w:hAnsi="Verdana" w:cs="Times New Roman"/>
                <w:sz w:val="20"/>
                <w:szCs w:val="20"/>
                <w:highlight w:val="yellow"/>
              </w:rPr>
            </w:pPr>
          </w:p>
          <w:p w:rsidR="00873972" w:rsidRDefault="00A81738" w:rsidP="00E860E4">
            <w:pPr>
              <w:jc w:val="both"/>
              <w:rPr>
                <w:rFonts w:ascii="Verdana" w:eastAsia="Times New Roman" w:hAnsi="Verdana" w:cs="Times New Roman"/>
                <w:sz w:val="20"/>
                <w:szCs w:val="20"/>
              </w:rPr>
            </w:pPr>
            <w:r w:rsidRPr="003C51CF">
              <w:rPr>
                <w:rFonts w:ascii="Verdana" w:eastAsia="Times New Roman" w:hAnsi="Verdana" w:cs="Times New Roman"/>
                <w:sz w:val="20"/>
                <w:szCs w:val="20"/>
              </w:rPr>
              <w:t xml:space="preserve">Se </w:t>
            </w:r>
            <w:r w:rsidR="00B36B6E" w:rsidRPr="003C51CF">
              <w:rPr>
                <w:rFonts w:ascii="Verdana" w:eastAsia="Times New Roman" w:hAnsi="Verdana" w:cs="Times New Roman"/>
                <w:sz w:val="20"/>
                <w:szCs w:val="20"/>
              </w:rPr>
              <w:t>ejecutaron</w:t>
            </w:r>
            <w:r w:rsidRPr="003C51CF">
              <w:rPr>
                <w:rFonts w:ascii="Verdana" w:eastAsia="Times New Roman" w:hAnsi="Verdana" w:cs="Times New Roman"/>
                <w:sz w:val="20"/>
                <w:szCs w:val="20"/>
              </w:rPr>
              <w:t xml:space="preserve"> recursos por valor de </w:t>
            </w:r>
            <w:r w:rsidR="003C51CF" w:rsidRPr="003C51CF">
              <w:rPr>
                <w:rFonts w:ascii="Verdana" w:eastAsia="Times New Roman" w:hAnsi="Verdana" w:cs="Times New Roman"/>
                <w:sz w:val="20"/>
                <w:szCs w:val="20"/>
              </w:rPr>
              <w:t>555,2</w:t>
            </w:r>
            <w:r w:rsidR="006F19B4" w:rsidRPr="003C51CF">
              <w:rPr>
                <w:rFonts w:ascii="Verdana" w:eastAsia="Times New Roman" w:hAnsi="Verdana" w:cs="Times New Roman"/>
                <w:sz w:val="20"/>
                <w:szCs w:val="20"/>
              </w:rPr>
              <w:t xml:space="preserve"> millones equivalentes al </w:t>
            </w:r>
            <w:r w:rsidR="003C51CF" w:rsidRPr="003C51CF">
              <w:rPr>
                <w:rFonts w:ascii="Verdana" w:eastAsia="Times New Roman" w:hAnsi="Verdana" w:cs="Times New Roman"/>
                <w:sz w:val="20"/>
                <w:szCs w:val="20"/>
              </w:rPr>
              <w:t>5,81</w:t>
            </w:r>
            <w:r w:rsidRPr="003C51CF">
              <w:rPr>
                <w:rFonts w:ascii="Verdana" w:eastAsia="Times New Roman" w:hAnsi="Verdana" w:cs="Times New Roman"/>
                <w:sz w:val="20"/>
                <w:szCs w:val="20"/>
              </w:rPr>
              <w:t xml:space="preserve">% de la </w:t>
            </w:r>
            <w:r w:rsidR="006F19B4" w:rsidRPr="003C51CF">
              <w:rPr>
                <w:rFonts w:ascii="Verdana" w:eastAsia="Times New Roman" w:hAnsi="Verdana" w:cs="Times New Roman"/>
                <w:sz w:val="20"/>
                <w:szCs w:val="20"/>
              </w:rPr>
              <w:t xml:space="preserve">apropiación, de una meta del </w:t>
            </w:r>
            <w:r w:rsidR="003C51CF" w:rsidRPr="003C51CF">
              <w:rPr>
                <w:rFonts w:ascii="Verdana" w:eastAsia="Times New Roman" w:hAnsi="Verdana" w:cs="Times New Roman"/>
                <w:sz w:val="20"/>
                <w:szCs w:val="20"/>
              </w:rPr>
              <w:t>5,81%</w:t>
            </w:r>
            <w:r w:rsidRPr="003C51CF">
              <w:rPr>
                <w:rFonts w:ascii="Verdana" w:eastAsia="Times New Roman" w:hAnsi="Verdana" w:cs="Times New Roman"/>
                <w:sz w:val="20"/>
                <w:szCs w:val="20"/>
              </w:rPr>
              <w:t>,</w:t>
            </w:r>
            <w:r w:rsidR="003C51CF" w:rsidRPr="003C51CF">
              <w:rPr>
                <w:rFonts w:ascii="Verdana" w:eastAsia="Times New Roman" w:hAnsi="Verdana" w:cs="Times New Roman"/>
                <w:sz w:val="20"/>
                <w:szCs w:val="20"/>
              </w:rPr>
              <w:t xml:space="preserve"> cumpliéndose en su totalidad. </w:t>
            </w:r>
            <w:r w:rsidRPr="003C51CF">
              <w:rPr>
                <w:rFonts w:ascii="Verdana" w:eastAsia="Times New Roman" w:hAnsi="Verdana" w:cs="Times New Roman"/>
                <w:sz w:val="20"/>
                <w:szCs w:val="20"/>
              </w:rPr>
              <w:t>De las obli</w:t>
            </w:r>
            <w:r w:rsidR="003C51CF">
              <w:rPr>
                <w:rFonts w:ascii="Verdana" w:eastAsia="Times New Roman" w:hAnsi="Verdana" w:cs="Times New Roman"/>
                <w:sz w:val="20"/>
                <w:szCs w:val="20"/>
              </w:rPr>
              <w:t>gaciones de gastos de personal</w:t>
            </w:r>
            <w:r w:rsidR="003C51CF" w:rsidRPr="003C51CF">
              <w:rPr>
                <w:rFonts w:ascii="Verdana" w:eastAsia="Times New Roman" w:hAnsi="Verdana" w:cs="Times New Roman"/>
                <w:sz w:val="20"/>
                <w:szCs w:val="20"/>
              </w:rPr>
              <w:t>, el 66,34% corresponde a gastos asociados al salario, el 27,10% a gastos por contribuciones inherentes a la nómina y el 6,56% restante, corresponde a remuneraciones no constitutivas de factor salarial.</w:t>
            </w:r>
          </w:p>
          <w:p w:rsidR="00123DEA" w:rsidRPr="00AB640F" w:rsidRDefault="00123DEA" w:rsidP="00E860E4">
            <w:pPr>
              <w:jc w:val="both"/>
              <w:rPr>
                <w:rFonts w:ascii="Verdana" w:hAnsi="Verdana"/>
                <w:sz w:val="20"/>
                <w:szCs w:val="20"/>
                <w:highlight w:val="yellow"/>
              </w:rPr>
            </w:pPr>
          </w:p>
        </w:tc>
      </w:tr>
    </w:tbl>
    <w:p w:rsidR="00873972" w:rsidRPr="006D7E6A" w:rsidRDefault="006D7E6A" w:rsidP="00B41CB3">
      <w:pPr>
        <w:rPr>
          <w:rFonts w:ascii="Verdana" w:hAnsi="Verdana"/>
          <w:b/>
          <w:sz w:val="22"/>
          <w:szCs w:val="20"/>
        </w:rPr>
      </w:pPr>
      <w:r>
        <w:rPr>
          <w:rFonts w:ascii="Verdana" w:hAnsi="Verdana"/>
          <w:b/>
          <w:sz w:val="22"/>
          <w:szCs w:val="20"/>
        </w:rPr>
        <w:lastRenderedPageBreak/>
        <w:t>Adquisición de Bienes y</w:t>
      </w:r>
      <w:r w:rsidRPr="006D7E6A">
        <w:rPr>
          <w:rFonts w:ascii="Verdana" w:hAnsi="Verdana"/>
          <w:b/>
          <w:sz w:val="22"/>
          <w:szCs w:val="20"/>
        </w:rPr>
        <w:t xml:space="preserve"> Servicios</w:t>
      </w:r>
    </w:p>
    <w:tbl>
      <w:tblPr>
        <w:tblStyle w:val="Tablaconcuadrcula"/>
        <w:tblW w:w="0" w:type="auto"/>
        <w:tblLook w:val="04A0" w:firstRow="1" w:lastRow="0" w:firstColumn="1" w:lastColumn="0" w:noHBand="0" w:noVBand="1"/>
      </w:tblPr>
      <w:tblGrid>
        <w:gridCol w:w="6638"/>
        <w:gridCol w:w="6640"/>
      </w:tblGrid>
      <w:tr w:rsidR="003F2322" w:rsidRPr="00AB640F" w:rsidTr="003F2322">
        <w:tc>
          <w:tcPr>
            <w:tcW w:w="6638" w:type="dxa"/>
          </w:tcPr>
          <w:p w:rsidR="003F2322" w:rsidRPr="006D7E6A" w:rsidRDefault="003F2322" w:rsidP="00B41CB3">
            <w:pPr>
              <w:jc w:val="center"/>
              <w:rPr>
                <w:rFonts w:ascii="Verdana" w:hAnsi="Verdana"/>
                <w:b/>
                <w:sz w:val="22"/>
                <w:szCs w:val="20"/>
              </w:rPr>
            </w:pPr>
            <w:r w:rsidRPr="006D7E6A">
              <w:rPr>
                <w:rFonts w:ascii="Verdana" w:hAnsi="Verdana"/>
                <w:b/>
                <w:sz w:val="22"/>
                <w:szCs w:val="20"/>
              </w:rPr>
              <w:t>Compromisos</w:t>
            </w:r>
          </w:p>
        </w:tc>
        <w:tc>
          <w:tcPr>
            <w:tcW w:w="6640" w:type="dxa"/>
          </w:tcPr>
          <w:p w:rsidR="003F2322" w:rsidRPr="006D7E6A" w:rsidRDefault="003F2322" w:rsidP="00B41CB3">
            <w:pPr>
              <w:jc w:val="center"/>
              <w:rPr>
                <w:rFonts w:ascii="Verdana" w:hAnsi="Verdana"/>
                <w:b/>
                <w:sz w:val="22"/>
                <w:szCs w:val="20"/>
              </w:rPr>
            </w:pPr>
            <w:r w:rsidRPr="006D7E6A">
              <w:rPr>
                <w:rFonts w:ascii="Verdana" w:hAnsi="Verdana"/>
                <w:b/>
                <w:sz w:val="22"/>
                <w:szCs w:val="20"/>
              </w:rPr>
              <w:t>Obligaciones</w:t>
            </w:r>
          </w:p>
        </w:tc>
      </w:tr>
      <w:tr w:rsidR="00873972" w:rsidRPr="00AB640F" w:rsidTr="003F2322">
        <w:tc>
          <w:tcPr>
            <w:tcW w:w="6638" w:type="dxa"/>
          </w:tcPr>
          <w:p w:rsidR="003A3C1F" w:rsidRPr="006D7E6A" w:rsidRDefault="003A3C1F" w:rsidP="003A3C1F">
            <w:pPr>
              <w:jc w:val="both"/>
              <w:rPr>
                <w:rFonts w:ascii="Verdana" w:hAnsi="Verdana"/>
                <w:sz w:val="20"/>
                <w:szCs w:val="20"/>
              </w:rPr>
            </w:pPr>
            <w:r w:rsidRPr="006D7E6A">
              <w:rPr>
                <w:rFonts w:ascii="Verdana" w:hAnsi="Verdana"/>
                <w:b/>
                <w:sz w:val="20"/>
                <w:szCs w:val="20"/>
              </w:rPr>
              <w:t>Indicador:</w:t>
            </w:r>
            <w:r w:rsidRPr="006D7E6A">
              <w:rPr>
                <w:rFonts w:ascii="Verdana" w:hAnsi="Verdana"/>
                <w:sz w:val="20"/>
                <w:szCs w:val="20"/>
              </w:rPr>
              <w:t xml:space="preserve"> Ejecución Compromisos / Apropiación Vigente.</w:t>
            </w:r>
          </w:p>
          <w:p w:rsidR="003A3C1F" w:rsidRPr="006D7E6A" w:rsidRDefault="003A3C1F" w:rsidP="003A3C1F">
            <w:pPr>
              <w:jc w:val="both"/>
              <w:rPr>
                <w:rFonts w:ascii="Verdana" w:hAnsi="Verdana"/>
                <w:sz w:val="20"/>
                <w:szCs w:val="20"/>
              </w:rPr>
            </w:pPr>
            <w:r w:rsidRPr="006D7E6A">
              <w:rPr>
                <w:rFonts w:ascii="Verdana" w:hAnsi="Verdana"/>
                <w:b/>
                <w:sz w:val="20"/>
                <w:szCs w:val="20"/>
              </w:rPr>
              <w:t>Indicador:</w:t>
            </w:r>
            <w:r w:rsidR="00995D66" w:rsidRPr="006D7E6A">
              <w:rPr>
                <w:rFonts w:ascii="Verdana" w:hAnsi="Verdana"/>
                <w:sz w:val="20"/>
                <w:szCs w:val="20"/>
              </w:rPr>
              <w:t xml:space="preserve"> </w:t>
            </w:r>
            <w:r w:rsidR="006D7E6A">
              <w:rPr>
                <w:rFonts w:ascii="Verdana" w:hAnsi="Verdana"/>
                <w:sz w:val="20"/>
                <w:szCs w:val="20"/>
              </w:rPr>
              <w:t xml:space="preserve">623,7 </w:t>
            </w:r>
            <w:r w:rsidR="00B378AF" w:rsidRPr="006D7E6A">
              <w:rPr>
                <w:rFonts w:ascii="Verdana" w:hAnsi="Verdana"/>
                <w:sz w:val="20"/>
                <w:szCs w:val="20"/>
              </w:rPr>
              <w:t xml:space="preserve">/ </w:t>
            </w:r>
            <w:r w:rsidR="006D7E6A">
              <w:rPr>
                <w:rFonts w:ascii="Verdana" w:hAnsi="Verdana"/>
                <w:sz w:val="20"/>
                <w:szCs w:val="20"/>
              </w:rPr>
              <w:t xml:space="preserve">3.824,0 </w:t>
            </w:r>
            <w:r w:rsidRPr="006D7E6A">
              <w:rPr>
                <w:rFonts w:ascii="Verdana" w:hAnsi="Verdana"/>
                <w:sz w:val="20"/>
                <w:szCs w:val="20"/>
              </w:rPr>
              <w:t xml:space="preserve">= </w:t>
            </w:r>
            <w:r w:rsidR="006D7E6A">
              <w:rPr>
                <w:rFonts w:ascii="Verdana" w:hAnsi="Verdana"/>
                <w:sz w:val="20"/>
                <w:szCs w:val="20"/>
              </w:rPr>
              <w:t>16,31</w:t>
            </w:r>
            <w:r w:rsidRPr="006D7E6A">
              <w:rPr>
                <w:rFonts w:ascii="Verdana" w:hAnsi="Verdana"/>
                <w:sz w:val="20"/>
                <w:szCs w:val="20"/>
              </w:rPr>
              <w:t>%.</w:t>
            </w:r>
          </w:p>
          <w:p w:rsidR="003A3C1F" w:rsidRPr="00F86597" w:rsidRDefault="003A3C1F" w:rsidP="003A3C1F">
            <w:pPr>
              <w:jc w:val="both"/>
              <w:rPr>
                <w:rFonts w:ascii="Verdana" w:hAnsi="Verdana"/>
                <w:sz w:val="20"/>
                <w:szCs w:val="20"/>
              </w:rPr>
            </w:pPr>
          </w:p>
          <w:p w:rsidR="00CE0F85" w:rsidRDefault="003A3C1F" w:rsidP="003A3C1F">
            <w:pPr>
              <w:jc w:val="both"/>
              <w:rPr>
                <w:rFonts w:ascii="Verdana" w:hAnsi="Verdana"/>
                <w:iCs/>
                <w:sz w:val="20"/>
                <w:szCs w:val="20"/>
              </w:rPr>
            </w:pPr>
            <w:r w:rsidRPr="00F86597">
              <w:rPr>
                <w:rFonts w:ascii="Verdana" w:hAnsi="Verdana"/>
                <w:sz w:val="20"/>
                <w:szCs w:val="20"/>
              </w:rPr>
              <w:t xml:space="preserve">La ejecución de los gastos </w:t>
            </w:r>
            <w:r w:rsidR="00CE0F85">
              <w:rPr>
                <w:rFonts w:ascii="Verdana" w:hAnsi="Verdana"/>
                <w:sz w:val="20"/>
                <w:szCs w:val="20"/>
              </w:rPr>
              <w:t>por adquisición de bienes y servicios</w:t>
            </w:r>
            <w:r w:rsidRPr="00F86597">
              <w:rPr>
                <w:rFonts w:ascii="Verdana" w:hAnsi="Verdana"/>
                <w:sz w:val="20"/>
                <w:szCs w:val="20"/>
              </w:rPr>
              <w:t xml:space="preserve"> </w:t>
            </w:r>
            <w:r w:rsidR="00F86597" w:rsidRPr="00F86597">
              <w:rPr>
                <w:rFonts w:ascii="Verdana" w:hAnsi="Verdana"/>
                <w:sz w:val="20"/>
                <w:szCs w:val="20"/>
              </w:rPr>
              <w:t>fue</w:t>
            </w:r>
            <w:r w:rsidRPr="00F86597">
              <w:rPr>
                <w:rFonts w:ascii="Verdana" w:hAnsi="Verdana"/>
                <w:sz w:val="20"/>
                <w:szCs w:val="20"/>
              </w:rPr>
              <w:t xml:space="preserve"> </w:t>
            </w:r>
            <w:r w:rsidR="00F86597" w:rsidRPr="00F86597">
              <w:rPr>
                <w:rFonts w:ascii="Verdana" w:hAnsi="Verdana"/>
                <w:sz w:val="20"/>
                <w:szCs w:val="20"/>
              </w:rPr>
              <w:t>d</w:t>
            </w:r>
            <w:r w:rsidRPr="00F86597">
              <w:rPr>
                <w:rFonts w:ascii="Verdana" w:hAnsi="Verdana"/>
                <w:sz w:val="20"/>
                <w:szCs w:val="20"/>
              </w:rPr>
              <w:t xml:space="preserve">el </w:t>
            </w:r>
            <w:r w:rsidR="00F86597" w:rsidRPr="00F86597">
              <w:rPr>
                <w:rFonts w:ascii="Verdana" w:hAnsi="Verdana"/>
                <w:sz w:val="20"/>
                <w:szCs w:val="20"/>
              </w:rPr>
              <w:t>16,31</w:t>
            </w:r>
            <w:r w:rsidRPr="00F86597">
              <w:rPr>
                <w:rFonts w:ascii="Verdana" w:hAnsi="Verdana"/>
                <w:sz w:val="20"/>
                <w:szCs w:val="20"/>
              </w:rPr>
              <w:t xml:space="preserve">% </w:t>
            </w:r>
            <w:r w:rsidR="00CE0F85">
              <w:rPr>
                <w:rFonts w:ascii="Verdana" w:hAnsi="Verdana"/>
                <w:sz w:val="20"/>
                <w:szCs w:val="20"/>
              </w:rPr>
              <w:t>con respecto a la</w:t>
            </w:r>
            <w:r w:rsidRPr="00F86597">
              <w:rPr>
                <w:rFonts w:ascii="Verdana" w:hAnsi="Verdana"/>
                <w:sz w:val="20"/>
                <w:szCs w:val="20"/>
              </w:rPr>
              <w:t xml:space="preserve"> apropi</w:t>
            </w:r>
            <w:r w:rsidR="00DC6094" w:rsidRPr="00F86597">
              <w:rPr>
                <w:rFonts w:ascii="Verdana" w:hAnsi="Verdana"/>
                <w:sz w:val="20"/>
                <w:szCs w:val="20"/>
              </w:rPr>
              <w:t>ación</w:t>
            </w:r>
            <w:r w:rsidR="00CE0F85">
              <w:rPr>
                <w:rFonts w:ascii="Verdana" w:hAnsi="Verdana"/>
                <w:sz w:val="20"/>
                <w:szCs w:val="20"/>
              </w:rPr>
              <w:t>,</w:t>
            </w:r>
            <w:r w:rsidR="00DC6094" w:rsidRPr="00F86597">
              <w:rPr>
                <w:rFonts w:ascii="Verdana" w:hAnsi="Verdana"/>
                <w:sz w:val="20"/>
                <w:szCs w:val="20"/>
              </w:rPr>
              <w:t xml:space="preserve"> frente a una meta del </w:t>
            </w:r>
            <w:r w:rsidR="00CE0F85">
              <w:rPr>
                <w:rFonts w:ascii="Verdana" w:hAnsi="Verdana"/>
                <w:sz w:val="20"/>
                <w:szCs w:val="20"/>
              </w:rPr>
              <w:t>18,53</w:t>
            </w:r>
            <w:r w:rsidRPr="00F86597">
              <w:rPr>
                <w:rFonts w:ascii="Verdana" w:hAnsi="Verdana"/>
                <w:sz w:val="20"/>
                <w:szCs w:val="20"/>
              </w:rPr>
              <w:t xml:space="preserve">%, </w:t>
            </w:r>
            <w:r w:rsidR="00995D66" w:rsidRPr="00F86597">
              <w:rPr>
                <w:rFonts w:ascii="Verdana" w:hAnsi="Verdana"/>
                <w:sz w:val="20"/>
                <w:szCs w:val="20"/>
              </w:rPr>
              <w:t xml:space="preserve">con </w:t>
            </w:r>
            <w:r w:rsidR="00B378AF" w:rsidRPr="00F86597">
              <w:rPr>
                <w:rFonts w:ascii="Verdana" w:hAnsi="Verdana"/>
                <w:sz w:val="20"/>
                <w:szCs w:val="20"/>
              </w:rPr>
              <w:t xml:space="preserve">un déficit de </w:t>
            </w:r>
            <w:r w:rsidR="000B688F">
              <w:rPr>
                <w:rFonts w:ascii="Verdana" w:hAnsi="Verdana"/>
                <w:sz w:val="20"/>
                <w:szCs w:val="20"/>
              </w:rPr>
              <w:t>85,1</w:t>
            </w:r>
            <w:r w:rsidR="00CE0F85">
              <w:rPr>
                <w:rFonts w:ascii="Verdana" w:hAnsi="Verdana"/>
                <w:sz w:val="20"/>
                <w:szCs w:val="20"/>
              </w:rPr>
              <w:t xml:space="preserve"> </w:t>
            </w:r>
            <w:r w:rsidR="00DC6094" w:rsidRPr="00F86597">
              <w:rPr>
                <w:rFonts w:ascii="Verdana" w:hAnsi="Verdana"/>
                <w:sz w:val="20"/>
                <w:szCs w:val="20"/>
              </w:rPr>
              <w:t>millones</w:t>
            </w:r>
            <w:r w:rsidR="00CE0F85">
              <w:rPr>
                <w:rFonts w:ascii="Verdana" w:hAnsi="Verdana"/>
                <w:sz w:val="20"/>
                <w:szCs w:val="20"/>
              </w:rPr>
              <w:t xml:space="preserve">, </w:t>
            </w:r>
            <w:r w:rsidR="00CE0F85" w:rsidRPr="009331E5">
              <w:rPr>
                <w:rFonts w:ascii="Verdana" w:hAnsi="Verdana"/>
                <w:sz w:val="20"/>
                <w:szCs w:val="20"/>
              </w:rPr>
              <w:t>debido a</w:t>
            </w:r>
            <w:r w:rsidR="00CE0F85">
              <w:rPr>
                <w:rFonts w:ascii="Verdana" w:hAnsi="Verdana"/>
                <w:sz w:val="20"/>
                <w:szCs w:val="20"/>
              </w:rPr>
              <w:t xml:space="preserve"> que no se hicieron todas las contrataciones previstas por prestación de servicios profesionales al cierre del mes de enero; también a un ahorro en la orden de compra realizada por concepto de combustible y a que en el mes de enero se presentaron pocas comisiones de funcionarios, generando un ahorro en lo que se había dispuesto para viáticos.</w:t>
            </w:r>
          </w:p>
          <w:p w:rsidR="00CE0F85" w:rsidRDefault="00CE0F85" w:rsidP="003A3C1F">
            <w:pPr>
              <w:jc w:val="both"/>
              <w:rPr>
                <w:rFonts w:ascii="Verdana" w:hAnsi="Verdana"/>
                <w:iCs/>
                <w:sz w:val="20"/>
                <w:szCs w:val="20"/>
              </w:rPr>
            </w:pPr>
          </w:p>
          <w:p w:rsidR="00873972" w:rsidRPr="00AB640F" w:rsidRDefault="003A3C1F" w:rsidP="00906A14">
            <w:pPr>
              <w:jc w:val="both"/>
              <w:rPr>
                <w:rFonts w:ascii="Verdana" w:hAnsi="Verdana"/>
                <w:sz w:val="20"/>
                <w:szCs w:val="20"/>
                <w:highlight w:val="yellow"/>
              </w:rPr>
            </w:pPr>
            <w:r w:rsidRPr="00B44E51">
              <w:rPr>
                <w:rFonts w:ascii="Verdana" w:hAnsi="Verdana"/>
                <w:sz w:val="20"/>
                <w:szCs w:val="20"/>
              </w:rPr>
              <w:t xml:space="preserve">Con corte al </w:t>
            </w:r>
            <w:r w:rsidR="00B44E51" w:rsidRPr="00B44E51">
              <w:rPr>
                <w:rFonts w:ascii="Verdana" w:hAnsi="Verdana"/>
                <w:sz w:val="20"/>
                <w:szCs w:val="20"/>
              </w:rPr>
              <w:t>31 de enero</w:t>
            </w:r>
            <w:r w:rsidR="00995D66" w:rsidRPr="00B44E51">
              <w:rPr>
                <w:rFonts w:ascii="Verdana" w:hAnsi="Verdana"/>
                <w:sz w:val="20"/>
                <w:szCs w:val="20"/>
              </w:rPr>
              <w:t xml:space="preserve"> </w:t>
            </w:r>
            <w:r w:rsidR="00B44E51">
              <w:rPr>
                <w:rFonts w:ascii="Verdana" w:hAnsi="Verdana"/>
                <w:sz w:val="20"/>
                <w:szCs w:val="20"/>
              </w:rPr>
              <w:t>de 2019</w:t>
            </w:r>
            <w:r w:rsidRPr="00B44E51">
              <w:rPr>
                <w:rFonts w:ascii="Verdana" w:hAnsi="Verdana"/>
                <w:sz w:val="20"/>
                <w:szCs w:val="20"/>
              </w:rPr>
              <w:t xml:space="preserve">, los compromisos se distribuyeron de la siguiente manera: </w:t>
            </w:r>
            <w:r w:rsidR="00B44E51" w:rsidRPr="00B44E51">
              <w:rPr>
                <w:rFonts w:ascii="Verdana" w:hAnsi="Verdana"/>
                <w:sz w:val="20"/>
                <w:szCs w:val="20"/>
                <w:lang w:val="es-CO"/>
              </w:rPr>
              <w:t xml:space="preserve">1) </w:t>
            </w:r>
            <w:r w:rsidR="00B44E51">
              <w:rPr>
                <w:rFonts w:ascii="Verdana" w:hAnsi="Verdana"/>
                <w:sz w:val="20"/>
                <w:szCs w:val="20"/>
                <w:lang w:val="es-CO"/>
              </w:rPr>
              <w:t>S</w:t>
            </w:r>
            <w:r w:rsidR="00B44E51" w:rsidRPr="00B44E51">
              <w:rPr>
                <w:rFonts w:ascii="Verdana" w:hAnsi="Verdana"/>
                <w:sz w:val="20"/>
                <w:szCs w:val="20"/>
                <w:lang w:val="es-CO"/>
              </w:rPr>
              <w:t xml:space="preserve">ervicios inmobiliarios con </w:t>
            </w:r>
            <w:r w:rsidR="00B44E51">
              <w:rPr>
                <w:rFonts w:ascii="Verdana" w:hAnsi="Verdana"/>
                <w:sz w:val="20"/>
                <w:szCs w:val="20"/>
                <w:lang w:val="es-CO"/>
              </w:rPr>
              <w:t>el 34,63</w:t>
            </w:r>
            <w:r w:rsidR="00B44E51" w:rsidRPr="00B44E51">
              <w:rPr>
                <w:rFonts w:ascii="Verdana" w:hAnsi="Verdana"/>
                <w:sz w:val="20"/>
                <w:szCs w:val="20"/>
                <w:lang w:val="es-CO"/>
              </w:rPr>
              <w:t xml:space="preserve">%; 2) Servicios de alojamiento, suministro de comidas y bebidas, transporte y servicios de distribución de electricidad, gas y agua con el </w:t>
            </w:r>
            <w:r w:rsidR="00B44E51">
              <w:rPr>
                <w:rFonts w:ascii="Verdana" w:hAnsi="Verdana"/>
                <w:sz w:val="20"/>
                <w:szCs w:val="20"/>
                <w:lang w:val="es-CO"/>
              </w:rPr>
              <w:t>4,24</w:t>
            </w:r>
            <w:r w:rsidR="00B44E51" w:rsidRPr="00B44E51">
              <w:rPr>
                <w:rFonts w:ascii="Verdana" w:hAnsi="Verdana"/>
                <w:sz w:val="20"/>
                <w:szCs w:val="20"/>
                <w:lang w:val="es-CO"/>
              </w:rPr>
              <w:t>%; 3) Servicios prestados a las empresas y servicios de producción</w:t>
            </w:r>
            <w:r w:rsidR="006C12E6">
              <w:rPr>
                <w:rFonts w:ascii="Verdana" w:hAnsi="Verdana"/>
                <w:sz w:val="20"/>
                <w:szCs w:val="20"/>
                <w:lang w:val="es-CO"/>
              </w:rPr>
              <w:t xml:space="preserve"> (Honorarios)</w:t>
            </w:r>
            <w:r w:rsidR="00B44E51" w:rsidRPr="00B44E51">
              <w:rPr>
                <w:rFonts w:ascii="Verdana" w:hAnsi="Verdana"/>
                <w:sz w:val="20"/>
                <w:szCs w:val="20"/>
                <w:lang w:val="es-CO"/>
              </w:rPr>
              <w:t xml:space="preserve"> con el </w:t>
            </w:r>
            <w:r w:rsidR="00B44E51">
              <w:rPr>
                <w:rFonts w:ascii="Verdana" w:hAnsi="Verdana"/>
                <w:sz w:val="20"/>
                <w:szCs w:val="20"/>
                <w:lang w:val="es-CO"/>
              </w:rPr>
              <w:t>54,58</w:t>
            </w:r>
            <w:r w:rsidR="00B44E51" w:rsidRPr="00B44E51">
              <w:rPr>
                <w:rFonts w:ascii="Verdana" w:hAnsi="Verdana"/>
                <w:sz w:val="20"/>
                <w:szCs w:val="20"/>
                <w:lang w:val="es-CO"/>
              </w:rPr>
              <w:t>%; 4) Servicios para la comunidad, sociales y personales con el 0,</w:t>
            </w:r>
            <w:r w:rsidR="00B44E51">
              <w:rPr>
                <w:rFonts w:ascii="Verdana" w:hAnsi="Verdana"/>
                <w:sz w:val="20"/>
                <w:szCs w:val="20"/>
                <w:lang w:val="es-CO"/>
              </w:rPr>
              <w:t>07</w:t>
            </w:r>
            <w:r w:rsidR="00B44E51" w:rsidRPr="00B44E51">
              <w:rPr>
                <w:rFonts w:ascii="Verdana" w:hAnsi="Verdana"/>
                <w:sz w:val="20"/>
                <w:szCs w:val="20"/>
                <w:lang w:val="es-CO"/>
              </w:rPr>
              <w:t>%; 5) Servicios de la construcción</w:t>
            </w:r>
            <w:r w:rsidR="00B44E51">
              <w:rPr>
                <w:rFonts w:ascii="Verdana" w:hAnsi="Verdana"/>
                <w:sz w:val="20"/>
                <w:szCs w:val="20"/>
                <w:lang w:val="es-CO"/>
              </w:rPr>
              <w:t xml:space="preserve"> (Mantenimiento) con el 0,47</w:t>
            </w:r>
            <w:r w:rsidR="00B44E51" w:rsidRPr="00B44E51">
              <w:rPr>
                <w:rFonts w:ascii="Verdana" w:hAnsi="Verdana"/>
                <w:sz w:val="20"/>
                <w:szCs w:val="20"/>
                <w:lang w:val="es-CO"/>
              </w:rPr>
              <w:t xml:space="preserve">%; 6) Otros bienes transportables (Combustible) con el </w:t>
            </w:r>
            <w:r w:rsidR="00B44E51">
              <w:rPr>
                <w:rFonts w:ascii="Verdana" w:hAnsi="Verdana"/>
                <w:sz w:val="20"/>
                <w:szCs w:val="20"/>
                <w:lang w:val="es-CO"/>
              </w:rPr>
              <w:t>6,01</w:t>
            </w:r>
            <w:r w:rsidR="00B44E51" w:rsidRPr="00B44E51">
              <w:rPr>
                <w:rFonts w:ascii="Verdana" w:hAnsi="Verdana"/>
                <w:sz w:val="20"/>
                <w:szCs w:val="20"/>
                <w:lang w:val="es-CO"/>
              </w:rPr>
              <w:t>%.</w:t>
            </w:r>
          </w:p>
        </w:tc>
        <w:tc>
          <w:tcPr>
            <w:tcW w:w="6640" w:type="dxa"/>
            <w:vAlign w:val="center"/>
          </w:tcPr>
          <w:p w:rsidR="001E4610" w:rsidRPr="006D7E6A" w:rsidRDefault="001E4610" w:rsidP="001E4610">
            <w:pPr>
              <w:jc w:val="both"/>
              <w:rPr>
                <w:rFonts w:ascii="Verdana" w:hAnsi="Verdana"/>
                <w:iCs/>
                <w:sz w:val="20"/>
                <w:szCs w:val="20"/>
              </w:rPr>
            </w:pPr>
            <w:r w:rsidRPr="006D7E6A">
              <w:rPr>
                <w:rFonts w:ascii="Verdana" w:hAnsi="Verdana"/>
                <w:b/>
                <w:iCs/>
                <w:sz w:val="20"/>
                <w:szCs w:val="20"/>
              </w:rPr>
              <w:t>Indicador:</w:t>
            </w:r>
            <w:r w:rsidRPr="006D7E6A">
              <w:rPr>
                <w:rFonts w:ascii="Verdana" w:hAnsi="Verdana"/>
                <w:iCs/>
                <w:sz w:val="20"/>
                <w:szCs w:val="20"/>
              </w:rPr>
              <w:t xml:space="preserve"> Ejecución Obligaciones / Apropiación Vigente.</w:t>
            </w:r>
          </w:p>
          <w:p w:rsidR="001E4610" w:rsidRPr="006D7E6A" w:rsidRDefault="00A40138" w:rsidP="001E4610">
            <w:pPr>
              <w:jc w:val="both"/>
              <w:rPr>
                <w:rFonts w:ascii="Verdana" w:hAnsi="Verdana"/>
                <w:iCs/>
                <w:sz w:val="20"/>
                <w:szCs w:val="20"/>
              </w:rPr>
            </w:pPr>
            <w:r w:rsidRPr="006D7E6A">
              <w:rPr>
                <w:rFonts w:ascii="Verdana" w:hAnsi="Verdana"/>
                <w:b/>
                <w:iCs/>
                <w:sz w:val="20"/>
                <w:szCs w:val="20"/>
              </w:rPr>
              <w:t>Indicador:</w:t>
            </w:r>
            <w:r w:rsidRPr="006D7E6A">
              <w:rPr>
                <w:rFonts w:ascii="Verdana" w:hAnsi="Verdana"/>
                <w:iCs/>
                <w:sz w:val="20"/>
                <w:szCs w:val="20"/>
              </w:rPr>
              <w:t xml:space="preserve"> </w:t>
            </w:r>
            <w:r w:rsidR="006D7E6A">
              <w:rPr>
                <w:rFonts w:ascii="Verdana" w:hAnsi="Verdana"/>
                <w:iCs/>
                <w:sz w:val="20"/>
                <w:szCs w:val="20"/>
              </w:rPr>
              <w:t xml:space="preserve">258,2 </w:t>
            </w:r>
            <w:r w:rsidR="008C5467" w:rsidRPr="006D7E6A">
              <w:rPr>
                <w:rFonts w:ascii="Verdana" w:hAnsi="Verdana"/>
                <w:iCs/>
                <w:sz w:val="20"/>
                <w:szCs w:val="20"/>
              </w:rPr>
              <w:t xml:space="preserve">/ </w:t>
            </w:r>
            <w:r w:rsidR="006D7E6A">
              <w:rPr>
                <w:rFonts w:ascii="Verdana" w:hAnsi="Verdana"/>
                <w:iCs/>
                <w:sz w:val="20"/>
                <w:szCs w:val="20"/>
              </w:rPr>
              <w:t xml:space="preserve">3.824,0 </w:t>
            </w:r>
            <w:r w:rsidR="001E4610" w:rsidRPr="006D7E6A">
              <w:rPr>
                <w:rFonts w:ascii="Verdana" w:hAnsi="Verdana"/>
                <w:iCs/>
                <w:sz w:val="20"/>
                <w:szCs w:val="20"/>
              </w:rPr>
              <w:t xml:space="preserve">= </w:t>
            </w:r>
            <w:r w:rsidR="006D7E6A">
              <w:rPr>
                <w:rFonts w:ascii="Verdana" w:hAnsi="Verdana"/>
                <w:iCs/>
                <w:sz w:val="20"/>
                <w:szCs w:val="20"/>
              </w:rPr>
              <w:t>6,75</w:t>
            </w:r>
            <w:r w:rsidR="009B34EA" w:rsidRPr="006D7E6A">
              <w:rPr>
                <w:rFonts w:ascii="Verdana" w:hAnsi="Verdana"/>
                <w:iCs/>
                <w:sz w:val="20"/>
                <w:szCs w:val="20"/>
              </w:rPr>
              <w:t>%.</w:t>
            </w:r>
          </w:p>
          <w:p w:rsidR="001E4610" w:rsidRPr="00AB640F" w:rsidRDefault="001E4610" w:rsidP="001E4610">
            <w:pPr>
              <w:jc w:val="both"/>
              <w:rPr>
                <w:rFonts w:ascii="Verdana" w:hAnsi="Verdana"/>
                <w:iCs/>
                <w:sz w:val="20"/>
                <w:szCs w:val="20"/>
                <w:highlight w:val="yellow"/>
              </w:rPr>
            </w:pPr>
          </w:p>
          <w:p w:rsidR="00D92DE8" w:rsidRDefault="008C5467" w:rsidP="001E4610">
            <w:pPr>
              <w:jc w:val="both"/>
              <w:rPr>
                <w:rFonts w:ascii="Verdana" w:hAnsi="Verdana"/>
                <w:sz w:val="20"/>
                <w:szCs w:val="20"/>
              </w:rPr>
            </w:pPr>
            <w:r w:rsidRPr="00D92DE8">
              <w:rPr>
                <w:rFonts w:ascii="Verdana" w:hAnsi="Verdana"/>
                <w:iCs/>
                <w:sz w:val="20"/>
                <w:szCs w:val="20"/>
              </w:rPr>
              <w:t xml:space="preserve">La ejecución alcanzó el </w:t>
            </w:r>
            <w:r w:rsidR="00D92DE8">
              <w:rPr>
                <w:rFonts w:ascii="Verdana" w:hAnsi="Verdana"/>
                <w:iCs/>
                <w:sz w:val="20"/>
                <w:szCs w:val="20"/>
              </w:rPr>
              <w:t>6,75</w:t>
            </w:r>
            <w:r w:rsidR="001E4610" w:rsidRPr="00D92DE8">
              <w:rPr>
                <w:rFonts w:ascii="Verdana" w:hAnsi="Verdana"/>
                <w:iCs/>
                <w:sz w:val="20"/>
                <w:szCs w:val="20"/>
              </w:rPr>
              <w:t>% de la apropi</w:t>
            </w:r>
            <w:r w:rsidR="00754541" w:rsidRPr="00D92DE8">
              <w:rPr>
                <w:rFonts w:ascii="Verdana" w:hAnsi="Verdana"/>
                <w:iCs/>
                <w:sz w:val="20"/>
                <w:szCs w:val="20"/>
              </w:rPr>
              <w:t>ación</w:t>
            </w:r>
            <w:r w:rsidR="00D92DE8">
              <w:rPr>
                <w:rFonts w:ascii="Verdana" w:hAnsi="Verdana"/>
                <w:iCs/>
                <w:sz w:val="20"/>
                <w:szCs w:val="20"/>
              </w:rPr>
              <w:t>,</w:t>
            </w:r>
            <w:r w:rsidR="00754541" w:rsidRPr="00D92DE8">
              <w:rPr>
                <w:rFonts w:ascii="Verdana" w:hAnsi="Verdana"/>
                <w:iCs/>
                <w:sz w:val="20"/>
                <w:szCs w:val="20"/>
              </w:rPr>
              <w:t xml:space="preserve"> frente a una meta del </w:t>
            </w:r>
            <w:r w:rsidR="00D92DE8">
              <w:rPr>
                <w:rFonts w:ascii="Verdana" w:hAnsi="Verdana"/>
                <w:iCs/>
                <w:sz w:val="20"/>
                <w:szCs w:val="20"/>
              </w:rPr>
              <w:t>8,13</w:t>
            </w:r>
            <w:r w:rsidR="00754541" w:rsidRPr="00D92DE8">
              <w:rPr>
                <w:rFonts w:ascii="Verdana" w:hAnsi="Verdana"/>
                <w:iCs/>
                <w:sz w:val="20"/>
                <w:szCs w:val="20"/>
              </w:rPr>
              <w:t xml:space="preserve">%, con un </w:t>
            </w:r>
            <w:r w:rsidR="000B688F">
              <w:rPr>
                <w:rFonts w:ascii="Verdana" w:hAnsi="Verdana"/>
                <w:iCs/>
                <w:sz w:val="20"/>
                <w:szCs w:val="20"/>
              </w:rPr>
              <w:t>déficit de 52,6</w:t>
            </w:r>
            <w:r w:rsidR="001E4610" w:rsidRPr="00D92DE8">
              <w:rPr>
                <w:rFonts w:ascii="Verdana" w:hAnsi="Verdana"/>
                <w:iCs/>
                <w:sz w:val="20"/>
                <w:szCs w:val="20"/>
              </w:rPr>
              <w:t xml:space="preserve"> millones el cual obedece a que, </w:t>
            </w:r>
            <w:r w:rsidR="00D92DE8">
              <w:rPr>
                <w:rFonts w:ascii="Verdana" w:hAnsi="Verdana"/>
                <w:sz w:val="20"/>
                <w:szCs w:val="20"/>
              </w:rPr>
              <w:t>se presentaron menos</w:t>
            </w:r>
            <w:r w:rsidR="00D92DE8" w:rsidRPr="00A516EE">
              <w:rPr>
                <w:rFonts w:ascii="Verdana" w:hAnsi="Verdana"/>
                <w:sz w:val="20"/>
                <w:szCs w:val="20"/>
              </w:rPr>
              <w:t xml:space="preserve"> comisiones de funcionarios a las contempladas para </w:t>
            </w:r>
            <w:r w:rsidR="00D92DE8">
              <w:rPr>
                <w:rFonts w:ascii="Verdana" w:hAnsi="Verdana"/>
                <w:sz w:val="20"/>
                <w:szCs w:val="20"/>
              </w:rPr>
              <w:t>este mes, generando un ahorro en lo que se había dispuesto para el pago de viáticos</w:t>
            </w:r>
            <w:r w:rsidR="00D92DE8" w:rsidRPr="00A516EE">
              <w:rPr>
                <w:rFonts w:ascii="Verdana" w:hAnsi="Verdana"/>
                <w:sz w:val="20"/>
                <w:szCs w:val="20"/>
              </w:rPr>
              <w:t xml:space="preserve"> y</w:t>
            </w:r>
            <w:r w:rsidR="00D92DE8">
              <w:rPr>
                <w:rFonts w:ascii="Verdana" w:hAnsi="Verdana"/>
                <w:sz w:val="20"/>
                <w:szCs w:val="20"/>
              </w:rPr>
              <w:t>,</w:t>
            </w:r>
            <w:r w:rsidR="00D92DE8" w:rsidRPr="00A516EE">
              <w:rPr>
                <w:rFonts w:ascii="Verdana" w:hAnsi="Verdana"/>
                <w:sz w:val="20"/>
                <w:szCs w:val="20"/>
              </w:rPr>
              <w:t xml:space="preserve"> a que no se hicieron todas las contrataciones previstas por presta</w:t>
            </w:r>
            <w:r w:rsidR="00D92DE8">
              <w:rPr>
                <w:rFonts w:ascii="Verdana" w:hAnsi="Verdana"/>
                <w:sz w:val="20"/>
                <w:szCs w:val="20"/>
              </w:rPr>
              <w:t>ción de servicios profesionales.</w:t>
            </w:r>
          </w:p>
          <w:p w:rsidR="00D92DE8" w:rsidRDefault="00D92DE8" w:rsidP="001E4610">
            <w:pPr>
              <w:jc w:val="both"/>
              <w:rPr>
                <w:rFonts w:ascii="Verdana" w:hAnsi="Verdana"/>
                <w:sz w:val="20"/>
                <w:szCs w:val="20"/>
              </w:rPr>
            </w:pPr>
          </w:p>
          <w:p w:rsidR="00873972" w:rsidRDefault="00906A14" w:rsidP="00E707E9">
            <w:pPr>
              <w:jc w:val="both"/>
              <w:rPr>
                <w:rFonts w:ascii="Verdana" w:hAnsi="Verdana"/>
                <w:sz w:val="20"/>
                <w:szCs w:val="20"/>
                <w:lang w:val="es-CO"/>
              </w:rPr>
            </w:pPr>
            <w:r w:rsidRPr="00B44E51">
              <w:rPr>
                <w:rFonts w:ascii="Verdana" w:hAnsi="Verdana"/>
                <w:sz w:val="20"/>
                <w:szCs w:val="20"/>
              </w:rPr>
              <w:t xml:space="preserve">Con corte al 31 de enero </w:t>
            </w:r>
            <w:r>
              <w:rPr>
                <w:rFonts w:ascii="Verdana" w:hAnsi="Verdana"/>
                <w:sz w:val="20"/>
                <w:szCs w:val="20"/>
              </w:rPr>
              <w:t>de 2019</w:t>
            </w:r>
            <w:r w:rsidRPr="00B44E51">
              <w:rPr>
                <w:rFonts w:ascii="Verdana" w:hAnsi="Verdana"/>
                <w:sz w:val="20"/>
                <w:szCs w:val="20"/>
              </w:rPr>
              <w:t xml:space="preserve">, </w:t>
            </w:r>
            <w:r w:rsidR="00E707E9">
              <w:rPr>
                <w:rFonts w:ascii="Verdana" w:hAnsi="Verdana"/>
                <w:sz w:val="20"/>
                <w:szCs w:val="20"/>
              </w:rPr>
              <w:t>las obligaciones</w:t>
            </w:r>
            <w:r w:rsidRPr="00B44E51">
              <w:rPr>
                <w:rFonts w:ascii="Verdana" w:hAnsi="Verdana"/>
                <w:sz w:val="20"/>
                <w:szCs w:val="20"/>
              </w:rPr>
              <w:t xml:space="preserve"> se distribuyeron de la siguiente manera: </w:t>
            </w:r>
            <w:r w:rsidRPr="00B44E51">
              <w:rPr>
                <w:rFonts w:ascii="Verdana" w:hAnsi="Verdana"/>
                <w:sz w:val="20"/>
                <w:szCs w:val="20"/>
                <w:lang w:val="es-CO"/>
              </w:rPr>
              <w:t xml:space="preserve">1) </w:t>
            </w:r>
            <w:r>
              <w:rPr>
                <w:rFonts w:ascii="Verdana" w:hAnsi="Verdana"/>
                <w:sz w:val="20"/>
                <w:szCs w:val="20"/>
                <w:lang w:val="es-CO"/>
              </w:rPr>
              <w:t>S</w:t>
            </w:r>
            <w:r w:rsidRPr="00B44E51">
              <w:rPr>
                <w:rFonts w:ascii="Verdana" w:hAnsi="Verdana"/>
                <w:sz w:val="20"/>
                <w:szCs w:val="20"/>
                <w:lang w:val="es-CO"/>
              </w:rPr>
              <w:t xml:space="preserve">ervicios inmobiliarios con </w:t>
            </w:r>
            <w:r>
              <w:rPr>
                <w:rFonts w:ascii="Verdana" w:hAnsi="Verdana"/>
                <w:sz w:val="20"/>
                <w:szCs w:val="20"/>
                <w:lang w:val="es-CO"/>
              </w:rPr>
              <w:t xml:space="preserve">el </w:t>
            </w:r>
            <w:r w:rsidR="00E707E9">
              <w:rPr>
                <w:rFonts w:ascii="Verdana" w:hAnsi="Verdana"/>
                <w:sz w:val="20"/>
                <w:szCs w:val="20"/>
                <w:lang w:val="es-CO"/>
              </w:rPr>
              <w:t>83,65</w:t>
            </w:r>
            <w:r w:rsidRPr="00B44E51">
              <w:rPr>
                <w:rFonts w:ascii="Verdana" w:hAnsi="Verdana"/>
                <w:sz w:val="20"/>
                <w:szCs w:val="20"/>
                <w:lang w:val="es-CO"/>
              </w:rPr>
              <w:t xml:space="preserve">%; 2) Servicios de alojamiento, suministro de comidas y bebidas, transporte y servicios de distribución de electricidad, gas y agua con el </w:t>
            </w:r>
            <w:r w:rsidR="00E707E9">
              <w:rPr>
                <w:rFonts w:ascii="Verdana" w:hAnsi="Verdana"/>
                <w:sz w:val="20"/>
                <w:szCs w:val="20"/>
                <w:lang w:val="es-CO"/>
              </w:rPr>
              <w:t>2,01</w:t>
            </w:r>
            <w:r w:rsidRPr="00B44E51">
              <w:rPr>
                <w:rFonts w:ascii="Verdana" w:hAnsi="Verdana"/>
                <w:sz w:val="20"/>
                <w:szCs w:val="20"/>
                <w:lang w:val="es-CO"/>
              </w:rPr>
              <w:t>%; 3) Servicios prestados a las empresas y servicios de producción</w:t>
            </w:r>
            <w:r>
              <w:rPr>
                <w:rFonts w:ascii="Verdana" w:hAnsi="Verdana"/>
                <w:sz w:val="20"/>
                <w:szCs w:val="20"/>
                <w:lang w:val="es-CO"/>
              </w:rPr>
              <w:t xml:space="preserve"> (Honorarios)</w:t>
            </w:r>
            <w:r w:rsidRPr="00B44E51">
              <w:rPr>
                <w:rFonts w:ascii="Verdana" w:hAnsi="Verdana"/>
                <w:sz w:val="20"/>
                <w:szCs w:val="20"/>
                <w:lang w:val="es-CO"/>
              </w:rPr>
              <w:t xml:space="preserve"> con el </w:t>
            </w:r>
            <w:r w:rsidR="00E707E9">
              <w:rPr>
                <w:rFonts w:ascii="Verdana" w:hAnsi="Verdana"/>
                <w:sz w:val="20"/>
                <w:szCs w:val="20"/>
                <w:lang w:val="es-CO"/>
              </w:rPr>
              <w:t>14,16</w:t>
            </w:r>
            <w:r w:rsidRPr="00B44E51">
              <w:rPr>
                <w:rFonts w:ascii="Verdana" w:hAnsi="Verdana"/>
                <w:sz w:val="20"/>
                <w:szCs w:val="20"/>
                <w:lang w:val="es-CO"/>
              </w:rPr>
              <w:t>%; 4) Servicios para la comunidad, sociales y personales con el 0,</w:t>
            </w:r>
            <w:r w:rsidR="00E707E9">
              <w:rPr>
                <w:rFonts w:ascii="Verdana" w:hAnsi="Verdana"/>
                <w:sz w:val="20"/>
                <w:szCs w:val="20"/>
                <w:lang w:val="es-CO"/>
              </w:rPr>
              <w:t>18%.</w:t>
            </w:r>
          </w:p>
          <w:p w:rsidR="00123DEA" w:rsidRDefault="00123DEA" w:rsidP="00E707E9">
            <w:pPr>
              <w:jc w:val="both"/>
              <w:rPr>
                <w:rFonts w:ascii="Verdana" w:hAnsi="Verdana"/>
                <w:sz w:val="20"/>
                <w:szCs w:val="20"/>
                <w:lang w:val="es-CO"/>
              </w:rPr>
            </w:pPr>
          </w:p>
          <w:p w:rsidR="00123DEA" w:rsidRDefault="00123DEA" w:rsidP="00E707E9">
            <w:pPr>
              <w:jc w:val="both"/>
              <w:rPr>
                <w:rFonts w:ascii="Verdana" w:hAnsi="Verdana"/>
                <w:sz w:val="20"/>
                <w:szCs w:val="20"/>
                <w:lang w:val="es-CO"/>
              </w:rPr>
            </w:pPr>
          </w:p>
          <w:p w:rsidR="00123DEA" w:rsidRDefault="00123DEA" w:rsidP="00E707E9">
            <w:pPr>
              <w:jc w:val="both"/>
              <w:rPr>
                <w:rFonts w:ascii="Verdana" w:hAnsi="Verdana"/>
                <w:sz w:val="20"/>
                <w:szCs w:val="20"/>
                <w:lang w:val="es-CO"/>
              </w:rPr>
            </w:pPr>
          </w:p>
          <w:p w:rsidR="00123DEA" w:rsidRPr="00AB640F" w:rsidRDefault="00123DEA" w:rsidP="00E707E9">
            <w:pPr>
              <w:jc w:val="both"/>
              <w:rPr>
                <w:rFonts w:ascii="Verdana" w:hAnsi="Verdana"/>
                <w:sz w:val="20"/>
                <w:szCs w:val="20"/>
                <w:highlight w:val="yellow"/>
              </w:rPr>
            </w:pPr>
          </w:p>
        </w:tc>
      </w:tr>
    </w:tbl>
    <w:p w:rsidR="00873972" w:rsidRPr="00AB640F" w:rsidRDefault="00873972" w:rsidP="00B41CB3">
      <w:pPr>
        <w:rPr>
          <w:rFonts w:ascii="Verdana" w:hAnsi="Verdana"/>
          <w:b/>
          <w:sz w:val="20"/>
          <w:szCs w:val="20"/>
          <w:highlight w:val="yellow"/>
        </w:rPr>
      </w:pPr>
    </w:p>
    <w:p w:rsidR="00873972" w:rsidRPr="00F039A5" w:rsidRDefault="00873972" w:rsidP="00B41CB3">
      <w:pPr>
        <w:rPr>
          <w:rFonts w:ascii="Verdana" w:hAnsi="Verdana"/>
          <w:b/>
          <w:sz w:val="22"/>
          <w:szCs w:val="20"/>
        </w:rPr>
      </w:pPr>
      <w:r w:rsidRPr="00F039A5">
        <w:rPr>
          <w:rFonts w:ascii="Verdana" w:hAnsi="Verdana"/>
          <w:b/>
          <w:sz w:val="22"/>
          <w:szCs w:val="20"/>
        </w:rPr>
        <w:t>Transferencias Corrientes</w:t>
      </w:r>
    </w:p>
    <w:tbl>
      <w:tblPr>
        <w:tblStyle w:val="Tablaconcuadrcula"/>
        <w:tblW w:w="0" w:type="auto"/>
        <w:tblLook w:val="04A0" w:firstRow="1" w:lastRow="0" w:firstColumn="1" w:lastColumn="0" w:noHBand="0" w:noVBand="1"/>
      </w:tblPr>
      <w:tblGrid>
        <w:gridCol w:w="6638"/>
        <w:gridCol w:w="6640"/>
      </w:tblGrid>
      <w:tr w:rsidR="003F2322" w:rsidRPr="00AB640F" w:rsidTr="003F2322">
        <w:tc>
          <w:tcPr>
            <w:tcW w:w="6638" w:type="dxa"/>
          </w:tcPr>
          <w:p w:rsidR="003F2322" w:rsidRPr="00F039A5" w:rsidRDefault="003F2322" w:rsidP="00B41CB3">
            <w:pPr>
              <w:jc w:val="center"/>
              <w:rPr>
                <w:rFonts w:ascii="Verdana" w:hAnsi="Verdana"/>
                <w:b/>
                <w:sz w:val="22"/>
                <w:szCs w:val="20"/>
              </w:rPr>
            </w:pPr>
            <w:r w:rsidRPr="00F039A5">
              <w:rPr>
                <w:rFonts w:ascii="Verdana" w:hAnsi="Verdana"/>
                <w:b/>
                <w:sz w:val="22"/>
                <w:szCs w:val="20"/>
              </w:rPr>
              <w:t>Compromisos</w:t>
            </w:r>
          </w:p>
        </w:tc>
        <w:tc>
          <w:tcPr>
            <w:tcW w:w="6640" w:type="dxa"/>
          </w:tcPr>
          <w:p w:rsidR="003F2322" w:rsidRPr="00F039A5" w:rsidRDefault="003F2322" w:rsidP="00B41CB3">
            <w:pPr>
              <w:jc w:val="center"/>
              <w:rPr>
                <w:rFonts w:ascii="Verdana" w:hAnsi="Verdana"/>
                <w:b/>
                <w:sz w:val="22"/>
                <w:szCs w:val="20"/>
              </w:rPr>
            </w:pPr>
            <w:r w:rsidRPr="00F039A5">
              <w:rPr>
                <w:rFonts w:ascii="Verdana" w:hAnsi="Verdana"/>
                <w:b/>
                <w:sz w:val="22"/>
                <w:szCs w:val="20"/>
              </w:rPr>
              <w:t>Obligaciones</w:t>
            </w:r>
          </w:p>
        </w:tc>
      </w:tr>
      <w:tr w:rsidR="00873972" w:rsidRPr="00AB640F" w:rsidTr="003F2322">
        <w:tc>
          <w:tcPr>
            <w:tcW w:w="6638" w:type="dxa"/>
            <w:vAlign w:val="center"/>
          </w:tcPr>
          <w:p w:rsidR="00265D9B" w:rsidRPr="00F039A5" w:rsidRDefault="00265D9B" w:rsidP="00265D9B">
            <w:pPr>
              <w:jc w:val="both"/>
              <w:rPr>
                <w:rFonts w:ascii="Verdana" w:eastAsia="Times New Roman" w:hAnsi="Verdana" w:cs="Times New Roman"/>
                <w:sz w:val="20"/>
                <w:szCs w:val="20"/>
              </w:rPr>
            </w:pPr>
            <w:r w:rsidRPr="00F039A5">
              <w:rPr>
                <w:rFonts w:ascii="Verdana" w:eastAsia="Times New Roman" w:hAnsi="Verdana" w:cs="Times New Roman"/>
                <w:b/>
                <w:sz w:val="20"/>
                <w:szCs w:val="20"/>
              </w:rPr>
              <w:t>Indicador:</w:t>
            </w:r>
            <w:r w:rsidRPr="00F039A5">
              <w:rPr>
                <w:rFonts w:ascii="Verdana" w:eastAsia="Times New Roman" w:hAnsi="Verdana" w:cs="Times New Roman"/>
                <w:sz w:val="20"/>
                <w:szCs w:val="20"/>
              </w:rPr>
              <w:t xml:space="preserve"> Ejecución Compromisos / Apropiación Vigente.</w:t>
            </w:r>
          </w:p>
          <w:p w:rsidR="00265D9B" w:rsidRPr="00F039A5" w:rsidRDefault="00265D9B" w:rsidP="00265D9B">
            <w:pPr>
              <w:jc w:val="both"/>
              <w:rPr>
                <w:rFonts w:ascii="Verdana" w:eastAsia="Times New Roman" w:hAnsi="Verdana" w:cs="Times New Roman"/>
                <w:sz w:val="20"/>
                <w:szCs w:val="20"/>
              </w:rPr>
            </w:pPr>
            <w:r w:rsidRPr="00F039A5">
              <w:rPr>
                <w:rFonts w:ascii="Verdana" w:eastAsia="Times New Roman" w:hAnsi="Verdana" w:cs="Times New Roman"/>
                <w:b/>
                <w:sz w:val="20"/>
                <w:szCs w:val="20"/>
              </w:rPr>
              <w:t>Indicador:</w:t>
            </w:r>
            <w:r w:rsidRPr="00F039A5">
              <w:rPr>
                <w:rFonts w:ascii="Verdana" w:eastAsia="Times New Roman" w:hAnsi="Verdana" w:cs="Times New Roman"/>
                <w:sz w:val="20"/>
                <w:szCs w:val="20"/>
              </w:rPr>
              <w:t xml:space="preserve"> </w:t>
            </w:r>
            <w:r w:rsidR="00A7534B">
              <w:rPr>
                <w:rFonts w:ascii="Verdana" w:eastAsia="Times New Roman" w:hAnsi="Verdana" w:cs="Times New Roman"/>
                <w:sz w:val="20"/>
                <w:szCs w:val="20"/>
              </w:rPr>
              <w:t xml:space="preserve">21,2 </w:t>
            </w:r>
            <w:r w:rsidRPr="00F039A5">
              <w:rPr>
                <w:rFonts w:ascii="Verdana" w:eastAsia="Times New Roman" w:hAnsi="Verdana" w:cs="Times New Roman"/>
                <w:sz w:val="20"/>
                <w:szCs w:val="20"/>
              </w:rPr>
              <w:t>/</w:t>
            </w:r>
            <w:r w:rsidR="00A7534B">
              <w:rPr>
                <w:rFonts w:ascii="Verdana" w:eastAsia="Times New Roman" w:hAnsi="Verdana" w:cs="Times New Roman"/>
                <w:sz w:val="20"/>
                <w:szCs w:val="20"/>
              </w:rPr>
              <w:t xml:space="preserve"> 14.964,0 </w:t>
            </w:r>
            <w:r w:rsidRPr="00F039A5">
              <w:rPr>
                <w:rFonts w:ascii="Verdana" w:eastAsia="Times New Roman" w:hAnsi="Verdana" w:cs="Times New Roman"/>
                <w:sz w:val="20"/>
                <w:szCs w:val="20"/>
              </w:rPr>
              <w:t xml:space="preserve">= </w:t>
            </w:r>
            <w:r w:rsidR="00A7534B">
              <w:rPr>
                <w:rFonts w:ascii="Verdana" w:eastAsia="Times New Roman" w:hAnsi="Verdana" w:cs="Times New Roman"/>
                <w:sz w:val="20"/>
                <w:szCs w:val="20"/>
              </w:rPr>
              <w:t>0,14</w:t>
            </w:r>
            <w:r w:rsidRPr="00F039A5">
              <w:rPr>
                <w:rFonts w:ascii="Verdana" w:eastAsia="Times New Roman" w:hAnsi="Verdana" w:cs="Times New Roman"/>
                <w:sz w:val="20"/>
                <w:szCs w:val="20"/>
              </w:rPr>
              <w:t>%.</w:t>
            </w:r>
          </w:p>
          <w:p w:rsidR="00265D9B" w:rsidRPr="00AB640F" w:rsidRDefault="00265D9B" w:rsidP="00265D9B">
            <w:pPr>
              <w:jc w:val="both"/>
              <w:rPr>
                <w:rFonts w:ascii="Verdana" w:eastAsia="Times New Roman" w:hAnsi="Verdana" w:cs="Times New Roman"/>
                <w:sz w:val="20"/>
                <w:szCs w:val="20"/>
                <w:highlight w:val="yellow"/>
              </w:rPr>
            </w:pPr>
          </w:p>
          <w:p w:rsidR="003C58A7" w:rsidRPr="009A4921" w:rsidRDefault="00265D9B" w:rsidP="009A4921">
            <w:pPr>
              <w:jc w:val="both"/>
              <w:rPr>
                <w:rFonts w:ascii="Verdana" w:hAnsi="Verdana"/>
                <w:iCs/>
                <w:sz w:val="20"/>
                <w:szCs w:val="20"/>
                <w:lang w:val="es-ES"/>
              </w:rPr>
            </w:pPr>
            <w:r w:rsidRPr="0016603E">
              <w:rPr>
                <w:rFonts w:ascii="Verdana" w:eastAsia="Times New Roman" w:hAnsi="Verdana" w:cs="Times New Roman"/>
                <w:sz w:val="20"/>
                <w:szCs w:val="20"/>
              </w:rPr>
              <w:t xml:space="preserve">Se </w:t>
            </w:r>
            <w:r w:rsidR="00FF77F9" w:rsidRPr="0016603E">
              <w:rPr>
                <w:rFonts w:ascii="Verdana" w:eastAsia="Times New Roman" w:hAnsi="Verdana" w:cs="Times New Roman"/>
                <w:sz w:val="20"/>
                <w:szCs w:val="20"/>
              </w:rPr>
              <w:t>ejecutaron</w:t>
            </w:r>
            <w:r w:rsidRPr="0016603E">
              <w:rPr>
                <w:rFonts w:ascii="Verdana" w:eastAsia="Times New Roman" w:hAnsi="Verdana" w:cs="Times New Roman"/>
                <w:sz w:val="20"/>
                <w:szCs w:val="20"/>
              </w:rPr>
              <w:t xml:space="preserve"> recursos por valor de </w:t>
            </w:r>
            <w:r w:rsidR="0016603E" w:rsidRPr="0016603E">
              <w:rPr>
                <w:rFonts w:ascii="Verdana" w:eastAsia="Times New Roman" w:hAnsi="Verdana" w:cs="Times New Roman"/>
                <w:sz w:val="20"/>
                <w:szCs w:val="20"/>
              </w:rPr>
              <w:t>21,2</w:t>
            </w:r>
            <w:r w:rsidR="00771EB0" w:rsidRPr="0016603E">
              <w:rPr>
                <w:rFonts w:ascii="Verdana" w:eastAsia="Times New Roman" w:hAnsi="Verdana" w:cs="Times New Roman"/>
                <w:sz w:val="20"/>
                <w:szCs w:val="20"/>
              </w:rPr>
              <w:t xml:space="preserve"> millones equivalentes al </w:t>
            </w:r>
            <w:r w:rsidR="0016603E" w:rsidRPr="0016603E">
              <w:rPr>
                <w:rFonts w:ascii="Verdana" w:eastAsia="Times New Roman" w:hAnsi="Verdana" w:cs="Times New Roman"/>
                <w:sz w:val="20"/>
                <w:szCs w:val="20"/>
              </w:rPr>
              <w:t>0,14</w:t>
            </w:r>
            <w:r w:rsidRPr="0016603E">
              <w:rPr>
                <w:rFonts w:ascii="Verdana" w:eastAsia="Times New Roman" w:hAnsi="Verdana" w:cs="Times New Roman"/>
                <w:sz w:val="20"/>
                <w:szCs w:val="20"/>
              </w:rPr>
              <w:t>% de la apropiac</w:t>
            </w:r>
            <w:r w:rsidR="00FF77F9" w:rsidRPr="0016603E">
              <w:rPr>
                <w:rFonts w:ascii="Verdana" w:eastAsia="Times New Roman" w:hAnsi="Verdana" w:cs="Times New Roman"/>
                <w:sz w:val="20"/>
                <w:szCs w:val="20"/>
              </w:rPr>
              <w:t xml:space="preserve">ión, frente a una meta del </w:t>
            </w:r>
            <w:r w:rsidR="0016603E" w:rsidRPr="0016603E">
              <w:rPr>
                <w:rFonts w:ascii="Verdana" w:eastAsia="Times New Roman" w:hAnsi="Verdana" w:cs="Times New Roman"/>
                <w:sz w:val="20"/>
                <w:szCs w:val="20"/>
              </w:rPr>
              <w:t xml:space="preserve">0,00%, </w:t>
            </w:r>
            <w:r w:rsidR="0016603E" w:rsidRPr="0016603E">
              <w:rPr>
                <w:rFonts w:ascii="Verdana" w:eastAsia="Times New Roman" w:hAnsi="Verdana" w:cs="Times New Roman"/>
                <w:sz w:val="20"/>
                <w:szCs w:val="20"/>
              </w:rPr>
              <w:lastRenderedPageBreak/>
              <w:t xml:space="preserve">generando así un </w:t>
            </w:r>
            <w:r w:rsidR="0016603E" w:rsidRPr="0016603E">
              <w:rPr>
                <w:rFonts w:ascii="Verdana" w:hAnsi="Verdana"/>
                <w:iCs/>
                <w:sz w:val="20"/>
                <w:szCs w:val="20"/>
                <w:lang w:val="es-ES"/>
              </w:rPr>
              <w:t xml:space="preserve">superávit en ejecución de transferencias corrientes, para cubrir gastos de viaje a participantes de una actividad </w:t>
            </w:r>
            <w:r w:rsidR="0016603E" w:rsidRPr="0016603E">
              <w:rPr>
                <w:rFonts w:ascii="Verdana" w:hAnsi="Verdana"/>
                <w:iCs/>
                <w:sz w:val="20"/>
                <w:szCs w:val="20"/>
                <w:lang w:val="es-CO"/>
              </w:rPr>
              <w:t>realizada en el marco de un proyecto de cooperación internacional</w:t>
            </w:r>
            <w:r w:rsidR="0016603E" w:rsidRPr="0016603E">
              <w:rPr>
                <w:rFonts w:ascii="Verdana" w:hAnsi="Verdana"/>
                <w:iCs/>
                <w:sz w:val="20"/>
                <w:szCs w:val="20"/>
                <w:lang w:val="es-ES"/>
              </w:rPr>
              <w:t>, con recursos provenientes del FOCAI.</w:t>
            </w:r>
            <w:r w:rsidR="0016603E" w:rsidRPr="009331E5">
              <w:rPr>
                <w:rFonts w:ascii="Verdana" w:hAnsi="Verdana"/>
                <w:iCs/>
                <w:sz w:val="20"/>
                <w:szCs w:val="20"/>
                <w:lang w:val="es-ES"/>
              </w:rPr>
              <w:t xml:space="preserve"> </w:t>
            </w:r>
            <w:r w:rsidR="009A4921">
              <w:rPr>
                <w:rFonts w:ascii="Verdana" w:hAnsi="Verdana"/>
                <w:sz w:val="20"/>
                <w:szCs w:val="20"/>
              </w:rPr>
              <w:t xml:space="preserve">Comprometiéndose los recursos, </w:t>
            </w:r>
            <w:r w:rsidR="00AA1966">
              <w:rPr>
                <w:rFonts w:ascii="Verdana" w:hAnsi="Verdana"/>
                <w:sz w:val="20"/>
                <w:szCs w:val="20"/>
              </w:rPr>
              <w:t>en su totalidad</w:t>
            </w:r>
            <w:r w:rsidR="009A4921">
              <w:rPr>
                <w:rFonts w:ascii="Verdana" w:hAnsi="Verdana"/>
                <w:sz w:val="20"/>
                <w:szCs w:val="20"/>
              </w:rPr>
              <w:t>, para este fin.</w:t>
            </w:r>
          </w:p>
        </w:tc>
        <w:tc>
          <w:tcPr>
            <w:tcW w:w="6640" w:type="dxa"/>
            <w:vAlign w:val="center"/>
          </w:tcPr>
          <w:p w:rsidR="00265D9B" w:rsidRPr="00F039A5" w:rsidRDefault="00265D9B" w:rsidP="00265D9B">
            <w:pPr>
              <w:jc w:val="both"/>
              <w:rPr>
                <w:rFonts w:ascii="Verdana" w:eastAsia="Times New Roman" w:hAnsi="Verdana" w:cs="Times New Roman"/>
                <w:sz w:val="20"/>
                <w:szCs w:val="20"/>
              </w:rPr>
            </w:pPr>
            <w:r w:rsidRPr="00F039A5">
              <w:rPr>
                <w:rFonts w:ascii="Verdana" w:eastAsia="Times New Roman" w:hAnsi="Verdana" w:cs="Times New Roman"/>
                <w:b/>
                <w:sz w:val="20"/>
                <w:szCs w:val="20"/>
              </w:rPr>
              <w:lastRenderedPageBreak/>
              <w:t>Indicador:</w:t>
            </w:r>
            <w:r w:rsidRPr="00F039A5">
              <w:rPr>
                <w:rFonts w:ascii="Verdana" w:eastAsia="Times New Roman" w:hAnsi="Verdana" w:cs="Times New Roman"/>
                <w:sz w:val="20"/>
                <w:szCs w:val="20"/>
              </w:rPr>
              <w:t xml:space="preserve"> Ejecución Obligaciones / Apropiación Vigente.</w:t>
            </w:r>
          </w:p>
          <w:p w:rsidR="00265D9B" w:rsidRPr="00F039A5" w:rsidRDefault="00265D9B" w:rsidP="00265D9B">
            <w:pPr>
              <w:jc w:val="both"/>
              <w:rPr>
                <w:rFonts w:ascii="Verdana" w:eastAsia="Times New Roman" w:hAnsi="Verdana" w:cs="Times New Roman"/>
                <w:sz w:val="20"/>
                <w:szCs w:val="20"/>
              </w:rPr>
            </w:pPr>
            <w:r w:rsidRPr="00F039A5">
              <w:rPr>
                <w:rFonts w:ascii="Verdana" w:eastAsia="Times New Roman" w:hAnsi="Verdana" w:cs="Times New Roman"/>
                <w:b/>
                <w:sz w:val="20"/>
                <w:szCs w:val="20"/>
              </w:rPr>
              <w:t>Indicador:</w:t>
            </w:r>
            <w:r w:rsidRPr="00F039A5">
              <w:rPr>
                <w:rFonts w:ascii="Verdana" w:eastAsia="Times New Roman" w:hAnsi="Verdana" w:cs="Times New Roman"/>
                <w:sz w:val="20"/>
                <w:szCs w:val="20"/>
              </w:rPr>
              <w:t xml:space="preserve"> </w:t>
            </w:r>
            <w:r w:rsidR="00A7534B">
              <w:rPr>
                <w:rFonts w:ascii="Verdana" w:eastAsia="Times New Roman" w:hAnsi="Verdana" w:cs="Times New Roman"/>
                <w:sz w:val="20"/>
                <w:szCs w:val="20"/>
              </w:rPr>
              <w:t xml:space="preserve">20,0 </w:t>
            </w:r>
            <w:r w:rsidRPr="00F039A5">
              <w:rPr>
                <w:rFonts w:ascii="Verdana" w:eastAsia="Times New Roman" w:hAnsi="Verdana" w:cs="Times New Roman"/>
                <w:sz w:val="20"/>
                <w:szCs w:val="20"/>
              </w:rPr>
              <w:t xml:space="preserve">/ </w:t>
            </w:r>
            <w:r w:rsidR="00A7534B">
              <w:rPr>
                <w:rFonts w:ascii="Verdana" w:eastAsia="Times New Roman" w:hAnsi="Verdana" w:cs="Times New Roman"/>
                <w:sz w:val="20"/>
                <w:szCs w:val="20"/>
              </w:rPr>
              <w:t xml:space="preserve">14.964,0 </w:t>
            </w:r>
            <w:r w:rsidRPr="00F039A5">
              <w:rPr>
                <w:rFonts w:ascii="Verdana" w:eastAsia="Times New Roman" w:hAnsi="Verdana" w:cs="Times New Roman"/>
                <w:sz w:val="20"/>
                <w:szCs w:val="20"/>
              </w:rPr>
              <w:t xml:space="preserve">= </w:t>
            </w:r>
            <w:r w:rsidR="00A7534B">
              <w:rPr>
                <w:rFonts w:ascii="Verdana" w:eastAsia="Times New Roman" w:hAnsi="Verdana" w:cs="Times New Roman"/>
                <w:sz w:val="20"/>
                <w:szCs w:val="20"/>
              </w:rPr>
              <w:t>0,13</w:t>
            </w:r>
            <w:r w:rsidRPr="00F039A5">
              <w:rPr>
                <w:rFonts w:ascii="Verdana" w:eastAsia="Times New Roman" w:hAnsi="Verdana" w:cs="Times New Roman"/>
                <w:sz w:val="20"/>
                <w:szCs w:val="20"/>
              </w:rPr>
              <w:t>%.</w:t>
            </w:r>
          </w:p>
          <w:p w:rsidR="00265D9B" w:rsidRPr="00AB640F" w:rsidRDefault="00265D9B" w:rsidP="00265D9B">
            <w:pPr>
              <w:jc w:val="both"/>
              <w:rPr>
                <w:rFonts w:ascii="Verdana" w:eastAsia="Times New Roman" w:hAnsi="Verdana" w:cs="Times New Roman"/>
                <w:sz w:val="20"/>
                <w:szCs w:val="20"/>
                <w:highlight w:val="yellow"/>
              </w:rPr>
            </w:pPr>
          </w:p>
          <w:p w:rsidR="00243D5E" w:rsidRPr="00AB640F" w:rsidRDefault="009A4921" w:rsidP="009A4921">
            <w:pPr>
              <w:jc w:val="both"/>
              <w:rPr>
                <w:rFonts w:ascii="Verdana" w:hAnsi="Verdana"/>
                <w:sz w:val="20"/>
                <w:szCs w:val="20"/>
                <w:highlight w:val="yellow"/>
              </w:rPr>
            </w:pPr>
            <w:r w:rsidRPr="009A4921">
              <w:rPr>
                <w:rFonts w:ascii="Verdana" w:eastAsia="Times New Roman" w:hAnsi="Verdana" w:cs="Times New Roman"/>
                <w:sz w:val="20"/>
                <w:szCs w:val="20"/>
              </w:rPr>
              <w:t>Se presentó</w:t>
            </w:r>
            <w:r w:rsidR="00265D9B" w:rsidRPr="009A4921">
              <w:rPr>
                <w:rFonts w:ascii="Verdana" w:eastAsia="Times New Roman" w:hAnsi="Verdana" w:cs="Times New Roman"/>
                <w:sz w:val="20"/>
                <w:szCs w:val="20"/>
              </w:rPr>
              <w:t xml:space="preserve"> una ejecución de </w:t>
            </w:r>
            <w:r w:rsidRPr="009A4921">
              <w:rPr>
                <w:rFonts w:ascii="Verdana" w:eastAsia="Times New Roman" w:hAnsi="Verdana" w:cs="Times New Roman"/>
                <w:sz w:val="20"/>
                <w:szCs w:val="20"/>
              </w:rPr>
              <w:t>20,0</w:t>
            </w:r>
            <w:r w:rsidR="00265D9B" w:rsidRPr="009A4921">
              <w:rPr>
                <w:rFonts w:ascii="Verdana" w:eastAsia="Times New Roman" w:hAnsi="Verdana" w:cs="Times New Roman"/>
                <w:sz w:val="20"/>
                <w:szCs w:val="20"/>
              </w:rPr>
              <w:t xml:space="preserve"> millones equivalen</w:t>
            </w:r>
            <w:r w:rsidR="00041BCF" w:rsidRPr="009A4921">
              <w:rPr>
                <w:rFonts w:ascii="Verdana" w:eastAsia="Times New Roman" w:hAnsi="Verdana" w:cs="Times New Roman"/>
                <w:sz w:val="20"/>
                <w:szCs w:val="20"/>
              </w:rPr>
              <w:t xml:space="preserve">tes al </w:t>
            </w:r>
            <w:r w:rsidRPr="009A4921">
              <w:rPr>
                <w:rFonts w:ascii="Verdana" w:eastAsia="Times New Roman" w:hAnsi="Verdana" w:cs="Times New Roman"/>
                <w:sz w:val="20"/>
                <w:szCs w:val="20"/>
              </w:rPr>
              <w:t>0,13</w:t>
            </w:r>
            <w:r w:rsidR="00265D9B" w:rsidRPr="009A4921">
              <w:rPr>
                <w:rFonts w:ascii="Verdana" w:eastAsia="Times New Roman" w:hAnsi="Verdana" w:cs="Times New Roman"/>
                <w:sz w:val="20"/>
                <w:szCs w:val="20"/>
              </w:rPr>
              <w:t>% de la apropiación</w:t>
            </w:r>
            <w:r w:rsidR="00041BCF" w:rsidRPr="009A4921">
              <w:rPr>
                <w:rFonts w:ascii="Verdana" w:eastAsia="Times New Roman" w:hAnsi="Verdana" w:cs="Times New Roman"/>
                <w:sz w:val="20"/>
                <w:szCs w:val="20"/>
              </w:rPr>
              <w:t xml:space="preserve">, frente a una meta del </w:t>
            </w:r>
            <w:r w:rsidRPr="009A4921">
              <w:rPr>
                <w:rFonts w:ascii="Verdana" w:eastAsia="Times New Roman" w:hAnsi="Verdana" w:cs="Times New Roman"/>
                <w:sz w:val="20"/>
                <w:szCs w:val="20"/>
              </w:rPr>
              <w:t xml:space="preserve">0,00%, </w:t>
            </w:r>
            <w:r w:rsidRPr="009A4921">
              <w:rPr>
                <w:rFonts w:ascii="Verdana" w:eastAsia="Times New Roman" w:hAnsi="Verdana" w:cs="Times New Roman"/>
                <w:sz w:val="20"/>
                <w:szCs w:val="20"/>
              </w:rPr>
              <w:lastRenderedPageBreak/>
              <w:t xml:space="preserve">generando un </w:t>
            </w:r>
            <w:r w:rsidRPr="009A4921">
              <w:rPr>
                <w:rFonts w:ascii="Verdana" w:hAnsi="Verdana"/>
                <w:iCs/>
                <w:sz w:val="20"/>
                <w:szCs w:val="20"/>
                <w:lang w:val="es-ES"/>
              </w:rPr>
              <w:t xml:space="preserve">superávit en la ejecución de recursos destinados a transferencias corrientes, los cuales se utilizaron en su totalidad para cubrir gastos de viaje a participantes de una actividad </w:t>
            </w:r>
            <w:r w:rsidRPr="009A4921">
              <w:rPr>
                <w:rFonts w:ascii="Verdana" w:hAnsi="Verdana"/>
                <w:iCs/>
                <w:sz w:val="20"/>
                <w:szCs w:val="20"/>
                <w:lang w:val="es-CO"/>
              </w:rPr>
              <w:t>realizada en el marco de un proyecto de cooperación internacional</w:t>
            </w:r>
            <w:r w:rsidRPr="009A4921">
              <w:rPr>
                <w:rFonts w:ascii="Verdana" w:hAnsi="Verdana"/>
                <w:iCs/>
                <w:sz w:val="20"/>
                <w:szCs w:val="20"/>
                <w:lang w:val="es-ES"/>
              </w:rPr>
              <w:t>, con recursos provenientes del FOCAI.</w:t>
            </w:r>
            <w:r>
              <w:rPr>
                <w:rFonts w:ascii="Verdana" w:hAnsi="Verdana"/>
                <w:iCs/>
                <w:sz w:val="20"/>
                <w:szCs w:val="20"/>
                <w:lang w:val="es-ES"/>
              </w:rPr>
              <w:t xml:space="preserve"> Obligándose los recursos, en su totalidad, para este fin.</w:t>
            </w:r>
          </w:p>
        </w:tc>
      </w:tr>
    </w:tbl>
    <w:p w:rsidR="003C58A7" w:rsidRPr="00AB640F" w:rsidRDefault="003C58A7" w:rsidP="00B41CB3">
      <w:pPr>
        <w:jc w:val="center"/>
        <w:rPr>
          <w:rFonts w:ascii="Verdana" w:hAnsi="Verdana"/>
          <w:b/>
          <w:sz w:val="20"/>
          <w:szCs w:val="20"/>
          <w:highlight w:val="yellow"/>
        </w:rPr>
      </w:pPr>
    </w:p>
    <w:p w:rsidR="00590D81" w:rsidRDefault="00590D81" w:rsidP="00B41CB3">
      <w:pPr>
        <w:jc w:val="center"/>
        <w:rPr>
          <w:rFonts w:ascii="Verdana" w:hAnsi="Verdana"/>
          <w:b/>
          <w:sz w:val="22"/>
          <w:szCs w:val="20"/>
        </w:rPr>
      </w:pPr>
    </w:p>
    <w:p w:rsidR="0066729B" w:rsidRPr="00CB5599" w:rsidRDefault="0066729B" w:rsidP="00B41CB3">
      <w:pPr>
        <w:jc w:val="center"/>
        <w:rPr>
          <w:rFonts w:ascii="Verdana" w:hAnsi="Verdana"/>
          <w:b/>
          <w:sz w:val="22"/>
          <w:szCs w:val="20"/>
        </w:rPr>
      </w:pPr>
      <w:r w:rsidRPr="00CB5599">
        <w:rPr>
          <w:rFonts w:ascii="Verdana" w:hAnsi="Verdana"/>
          <w:b/>
          <w:sz w:val="22"/>
          <w:szCs w:val="20"/>
        </w:rPr>
        <w:t>Presupuesto de Inversión</w:t>
      </w:r>
    </w:p>
    <w:p w:rsidR="005572D7" w:rsidRPr="00CB5599" w:rsidRDefault="005572D7" w:rsidP="00B41CB3">
      <w:pPr>
        <w:jc w:val="center"/>
        <w:rPr>
          <w:rFonts w:ascii="Verdana" w:hAnsi="Verdana"/>
          <w:b/>
          <w:sz w:val="22"/>
          <w:szCs w:val="20"/>
        </w:rPr>
      </w:pPr>
    </w:p>
    <w:tbl>
      <w:tblPr>
        <w:tblStyle w:val="Tablaconcuadrcula"/>
        <w:tblW w:w="0" w:type="auto"/>
        <w:tblLook w:val="04A0" w:firstRow="1" w:lastRow="0" w:firstColumn="1" w:lastColumn="0" w:noHBand="0" w:noVBand="1"/>
      </w:tblPr>
      <w:tblGrid>
        <w:gridCol w:w="6638"/>
        <w:gridCol w:w="6640"/>
      </w:tblGrid>
      <w:tr w:rsidR="003F2322" w:rsidRPr="00AB640F" w:rsidTr="003F2322">
        <w:tc>
          <w:tcPr>
            <w:tcW w:w="6638" w:type="dxa"/>
          </w:tcPr>
          <w:p w:rsidR="003F2322" w:rsidRPr="00CB5599" w:rsidRDefault="003F2322" w:rsidP="00B41CB3">
            <w:pPr>
              <w:jc w:val="center"/>
              <w:rPr>
                <w:rFonts w:ascii="Verdana" w:hAnsi="Verdana"/>
                <w:b/>
                <w:sz w:val="22"/>
                <w:szCs w:val="20"/>
              </w:rPr>
            </w:pPr>
            <w:r w:rsidRPr="00CB5599">
              <w:rPr>
                <w:rFonts w:ascii="Verdana" w:hAnsi="Verdana"/>
                <w:b/>
                <w:sz w:val="22"/>
                <w:szCs w:val="20"/>
              </w:rPr>
              <w:t>Compromisos</w:t>
            </w:r>
          </w:p>
        </w:tc>
        <w:tc>
          <w:tcPr>
            <w:tcW w:w="6640" w:type="dxa"/>
          </w:tcPr>
          <w:p w:rsidR="003F2322" w:rsidRPr="00CB5599" w:rsidRDefault="003F2322" w:rsidP="00B41CB3">
            <w:pPr>
              <w:jc w:val="center"/>
              <w:rPr>
                <w:rFonts w:ascii="Verdana" w:hAnsi="Verdana"/>
                <w:b/>
                <w:sz w:val="22"/>
                <w:szCs w:val="20"/>
              </w:rPr>
            </w:pPr>
            <w:r w:rsidRPr="00CB5599">
              <w:rPr>
                <w:rFonts w:ascii="Verdana" w:hAnsi="Verdana"/>
                <w:b/>
                <w:sz w:val="22"/>
                <w:szCs w:val="20"/>
              </w:rPr>
              <w:t>Obligaciones</w:t>
            </w:r>
          </w:p>
        </w:tc>
      </w:tr>
      <w:tr w:rsidR="0066729B" w:rsidRPr="00AB640F" w:rsidTr="003F2322">
        <w:tc>
          <w:tcPr>
            <w:tcW w:w="6638" w:type="dxa"/>
            <w:vAlign w:val="center"/>
          </w:tcPr>
          <w:p w:rsidR="00265D9B" w:rsidRPr="00CB5599" w:rsidRDefault="00265D9B" w:rsidP="00265D9B">
            <w:pPr>
              <w:jc w:val="both"/>
              <w:rPr>
                <w:rFonts w:ascii="Verdana" w:hAnsi="Verdana"/>
                <w:sz w:val="20"/>
                <w:szCs w:val="20"/>
              </w:rPr>
            </w:pPr>
            <w:r w:rsidRPr="00CB5599">
              <w:rPr>
                <w:rFonts w:ascii="Verdana" w:hAnsi="Verdana"/>
                <w:b/>
                <w:sz w:val="20"/>
                <w:szCs w:val="20"/>
              </w:rPr>
              <w:t>Indicador:</w:t>
            </w:r>
            <w:r w:rsidRPr="00CB5599">
              <w:rPr>
                <w:rFonts w:ascii="Verdana" w:hAnsi="Verdana"/>
                <w:sz w:val="20"/>
                <w:szCs w:val="20"/>
              </w:rPr>
              <w:t xml:space="preserve"> Ejecución Compromisos / Apropiación Vigente.</w:t>
            </w:r>
          </w:p>
          <w:p w:rsidR="00265D9B" w:rsidRPr="00CB5599" w:rsidRDefault="00265D9B" w:rsidP="00265D9B">
            <w:pPr>
              <w:jc w:val="both"/>
              <w:rPr>
                <w:rFonts w:ascii="Verdana" w:hAnsi="Verdana"/>
                <w:sz w:val="20"/>
                <w:szCs w:val="20"/>
              </w:rPr>
            </w:pPr>
            <w:r w:rsidRPr="00CB5599">
              <w:rPr>
                <w:rFonts w:ascii="Verdana" w:hAnsi="Verdana"/>
                <w:b/>
                <w:sz w:val="20"/>
                <w:szCs w:val="20"/>
              </w:rPr>
              <w:t>Indicador:</w:t>
            </w:r>
            <w:r w:rsidRPr="00CB5599">
              <w:rPr>
                <w:rFonts w:ascii="Verdana" w:hAnsi="Verdana"/>
                <w:sz w:val="20"/>
                <w:szCs w:val="20"/>
              </w:rPr>
              <w:t xml:space="preserve"> </w:t>
            </w:r>
            <w:r w:rsidR="00CB5599">
              <w:rPr>
                <w:rFonts w:ascii="Verdana" w:hAnsi="Verdana"/>
                <w:sz w:val="20"/>
                <w:szCs w:val="20"/>
              </w:rPr>
              <w:t xml:space="preserve">881,0 </w:t>
            </w:r>
            <w:r w:rsidRPr="00CB5599">
              <w:rPr>
                <w:rFonts w:ascii="Verdana" w:hAnsi="Verdana"/>
                <w:sz w:val="20"/>
                <w:szCs w:val="20"/>
              </w:rPr>
              <w:t>/</w:t>
            </w:r>
            <w:r w:rsidR="00CB5599">
              <w:rPr>
                <w:rFonts w:ascii="Verdana" w:hAnsi="Verdana"/>
                <w:sz w:val="20"/>
                <w:szCs w:val="20"/>
              </w:rPr>
              <w:t xml:space="preserve"> 65.618,1</w:t>
            </w:r>
            <w:r w:rsidRPr="00CB5599">
              <w:rPr>
                <w:rFonts w:ascii="Verdana" w:hAnsi="Verdana"/>
                <w:sz w:val="20"/>
                <w:szCs w:val="20"/>
              </w:rPr>
              <w:t xml:space="preserve"> = </w:t>
            </w:r>
            <w:r w:rsidR="00CB5599">
              <w:rPr>
                <w:rFonts w:ascii="Verdana" w:hAnsi="Verdana"/>
                <w:sz w:val="20"/>
                <w:szCs w:val="20"/>
              </w:rPr>
              <w:t>1,34</w:t>
            </w:r>
            <w:r w:rsidRPr="00CB5599">
              <w:rPr>
                <w:rFonts w:ascii="Verdana" w:hAnsi="Verdana"/>
                <w:sz w:val="20"/>
                <w:szCs w:val="20"/>
              </w:rPr>
              <w:t>%.</w:t>
            </w:r>
          </w:p>
          <w:p w:rsidR="00265D9B" w:rsidRPr="00AB640F" w:rsidRDefault="00265D9B" w:rsidP="00265D9B">
            <w:pPr>
              <w:jc w:val="both"/>
              <w:rPr>
                <w:rFonts w:ascii="Verdana" w:hAnsi="Verdana"/>
                <w:sz w:val="20"/>
                <w:szCs w:val="20"/>
                <w:highlight w:val="yellow"/>
              </w:rPr>
            </w:pPr>
          </w:p>
          <w:p w:rsidR="00265D9B" w:rsidRDefault="00265D9B" w:rsidP="00265D9B">
            <w:pPr>
              <w:jc w:val="both"/>
              <w:rPr>
                <w:rFonts w:ascii="Verdana" w:hAnsi="Verdana"/>
                <w:sz w:val="20"/>
                <w:szCs w:val="20"/>
              </w:rPr>
            </w:pPr>
            <w:r w:rsidRPr="00EA22E1">
              <w:rPr>
                <w:rFonts w:ascii="Verdana" w:hAnsi="Verdana"/>
                <w:sz w:val="20"/>
                <w:szCs w:val="20"/>
              </w:rPr>
              <w:t xml:space="preserve">Se comprometieron recursos por valor de </w:t>
            </w:r>
            <w:r w:rsidR="00EA22E1">
              <w:rPr>
                <w:rFonts w:ascii="Verdana" w:hAnsi="Verdana"/>
                <w:sz w:val="20"/>
                <w:szCs w:val="20"/>
              </w:rPr>
              <w:t>881,0</w:t>
            </w:r>
            <w:r w:rsidRPr="00EA22E1">
              <w:rPr>
                <w:rFonts w:ascii="Verdana" w:hAnsi="Verdana"/>
                <w:sz w:val="20"/>
                <w:szCs w:val="20"/>
              </w:rPr>
              <w:t xml:space="preserve"> millones equivalentes al </w:t>
            </w:r>
            <w:r w:rsidR="00EA22E1">
              <w:rPr>
                <w:rFonts w:ascii="Verdana" w:hAnsi="Verdana"/>
                <w:sz w:val="20"/>
                <w:szCs w:val="20"/>
              </w:rPr>
              <w:t>1,34</w:t>
            </w:r>
            <w:r w:rsidRPr="00EA22E1">
              <w:rPr>
                <w:rFonts w:ascii="Verdana" w:hAnsi="Verdana"/>
                <w:sz w:val="20"/>
                <w:szCs w:val="20"/>
              </w:rPr>
              <w:t xml:space="preserve">% de la apropiación en inversión, frente a una meta del </w:t>
            </w:r>
            <w:r w:rsidR="00EA22E1">
              <w:rPr>
                <w:rFonts w:ascii="Verdana" w:hAnsi="Verdana"/>
                <w:sz w:val="20"/>
                <w:szCs w:val="20"/>
              </w:rPr>
              <w:t>1,68</w:t>
            </w:r>
            <w:r w:rsidRPr="00EA22E1">
              <w:rPr>
                <w:rFonts w:ascii="Verdana" w:hAnsi="Verdana"/>
                <w:sz w:val="20"/>
                <w:szCs w:val="20"/>
              </w:rPr>
              <w:t xml:space="preserve">%, con un déficit de </w:t>
            </w:r>
            <w:r w:rsidR="000B688F">
              <w:rPr>
                <w:rFonts w:ascii="Verdana" w:hAnsi="Verdana"/>
                <w:sz w:val="20"/>
                <w:szCs w:val="20"/>
              </w:rPr>
              <w:t>220,8</w:t>
            </w:r>
            <w:r w:rsidRPr="00EA22E1">
              <w:rPr>
                <w:rFonts w:ascii="Verdana" w:hAnsi="Verdana"/>
                <w:sz w:val="20"/>
                <w:szCs w:val="20"/>
              </w:rPr>
              <w:t xml:space="preserve"> millones, </w:t>
            </w:r>
            <w:r w:rsidR="000B4CFF" w:rsidRPr="000E3954">
              <w:rPr>
                <w:rFonts w:ascii="Verdana" w:hAnsi="Verdana"/>
                <w:sz w:val="20"/>
                <w:szCs w:val="20"/>
              </w:rPr>
              <w:t xml:space="preserve">debido a </w:t>
            </w:r>
            <w:r w:rsidR="000B4CFF">
              <w:rPr>
                <w:rFonts w:ascii="Verdana" w:hAnsi="Verdana"/>
                <w:sz w:val="20"/>
                <w:szCs w:val="20"/>
              </w:rPr>
              <w:t xml:space="preserve">que no se tramitaron todos los contratos que se tenían contemplados para la adquisición de combustible en el mes de enero de 2019, para el </w:t>
            </w:r>
            <w:r w:rsidR="000B4CFF" w:rsidRPr="00EA3C52">
              <w:rPr>
                <w:rFonts w:ascii="Verdana" w:hAnsi="Verdana"/>
                <w:sz w:val="20"/>
                <w:szCs w:val="20"/>
              </w:rPr>
              <w:t>proyecto de desminado terrestre en el marco del convenio de subvención firmado c</w:t>
            </w:r>
            <w:r w:rsidR="000B4CFF">
              <w:rPr>
                <w:rFonts w:ascii="Verdana" w:hAnsi="Verdana"/>
                <w:sz w:val="20"/>
                <w:szCs w:val="20"/>
              </w:rPr>
              <w:t xml:space="preserve">on la fundación Howard </w:t>
            </w:r>
            <w:proofErr w:type="spellStart"/>
            <w:r w:rsidR="000B688F">
              <w:rPr>
                <w:rFonts w:ascii="Verdana" w:hAnsi="Verdana"/>
                <w:sz w:val="20"/>
                <w:szCs w:val="20"/>
              </w:rPr>
              <w:t>Buffet</w:t>
            </w:r>
            <w:r w:rsidR="009E2EAA">
              <w:rPr>
                <w:rFonts w:ascii="Verdana" w:hAnsi="Verdana"/>
                <w:sz w:val="20"/>
                <w:szCs w:val="20"/>
              </w:rPr>
              <w:t>t</w:t>
            </w:r>
            <w:proofErr w:type="spellEnd"/>
            <w:r w:rsidR="000B4CFF">
              <w:rPr>
                <w:rFonts w:ascii="Verdana" w:hAnsi="Verdana"/>
                <w:sz w:val="20"/>
                <w:szCs w:val="20"/>
              </w:rPr>
              <w:t>.</w:t>
            </w:r>
          </w:p>
          <w:p w:rsidR="000B4CFF" w:rsidRDefault="000B4CFF" w:rsidP="00265D9B">
            <w:pPr>
              <w:jc w:val="both"/>
              <w:rPr>
                <w:rFonts w:ascii="Verdana" w:hAnsi="Verdana"/>
                <w:sz w:val="20"/>
                <w:szCs w:val="20"/>
              </w:rPr>
            </w:pPr>
          </w:p>
          <w:p w:rsidR="00265D9B" w:rsidRPr="000B688F" w:rsidRDefault="00265D9B" w:rsidP="00265D9B">
            <w:pPr>
              <w:jc w:val="both"/>
              <w:rPr>
                <w:rFonts w:ascii="Verdana" w:hAnsi="Verdana"/>
                <w:sz w:val="20"/>
                <w:szCs w:val="20"/>
              </w:rPr>
            </w:pPr>
            <w:r w:rsidRPr="000B688F">
              <w:rPr>
                <w:rFonts w:ascii="Verdana" w:hAnsi="Verdana"/>
                <w:sz w:val="20"/>
                <w:szCs w:val="20"/>
              </w:rPr>
              <w:t xml:space="preserve">La ejecución de los gastos de inversión estuvo distribuida así: </w:t>
            </w:r>
          </w:p>
          <w:p w:rsidR="00265D9B" w:rsidRPr="000B688F" w:rsidRDefault="00265D9B" w:rsidP="00265D9B">
            <w:pPr>
              <w:jc w:val="both"/>
              <w:rPr>
                <w:rFonts w:ascii="Verdana" w:hAnsi="Verdana"/>
                <w:sz w:val="20"/>
                <w:szCs w:val="20"/>
              </w:rPr>
            </w:pPr>
          </w:p>
          <w:p w:rsidR="000B688F" w:rsidRPr="00B176DD" w:rsidRDefault="000B688F" w:rsidP="000B688F">
            <w:pPr>
              <w:jc w:val="both"/>
              <w:rPr>
                <w:rFonts w:ascii="Verdana" w:hAnsi="Verdana"/>
                <w:sz w:val="20"/>
                <w:szCs w:val="20"/>
              </w:rPr>
            </w:pPr>
            <w:r w:rsidRPr="00B176DD">
              <w:rPr>
                <w:rFonts w:ascii="Verdana" w:hAnsi="Verdana"/>
                <w:sz w:val="20"/>
                <w:szCs w:val="20"/>
              </w:rPr>
              <w:t xml:space="preserve">1) Administración de Recursos de Cooperación con el 94,53% de la ejecución en inversión, equivalente a 832,8 millones, distribuidos así: </w:t>
            </w:r>
          </w:p>
          <w:p w:rsidR="000B688F" w:rsidRPr="00B176DD" w:rsidRDefault="000B688F" w:rsidP="000B688F">
            <w:pPr>
              <w:jc w:val="both"/>
              <w:rPr>
                <w:rFonts w:ascii="Verdana" w:hAnsi="Verdana"/>
                <w:sz w:val="20"/>
                <w:szCs w:val="20"/>
              </w:rPr>
            </w:pPr>
          </w:p>
          <w:p w:rsidR="000B688F" w:rsidRPr="00B176DD" w:rsidRDefault="000B688F" w:rsidP="000B688F">
            <w:pPr>
              <w:jc w:val="both"/>
              <w:rPr>
                <w:rFonts w:ascii="Verdana" w:hAnsi="Verdana"/>
                <w:sz w:val="20"/>
                <w:szCs w:val="20"/>
              </w:rPr>
            </w:pPr>
            <w:r w:rsidRPr="00B176DD">
              <w:rPr>
                <w:rFonts w:ascii="Verdana" w:hAnsi="Verdana"/>
                <w:sz w:val="20"/>
                <w:szCs w:val="20"/>
              </w:rPr>
              <w:t>a) 168,4 millones del proyecto “Estrategia regional de emprendimiento” financiado con recursos donados por la Unión Europea.</w:t>
            </w:r>
          </w:p>
          <w:p w:rsidR="000B688F" w:rsidRPr="00EA3C52" w:rsidRDefault="000B688F" w:rsidP="000B688F">
            <w:pPr>
              <w:jc w:val="both"/>
              <w:rPr>
                <w:rFonts w:ascii="Verdana" w:hAnsi="Verdana"/>
                <w:sz w:val="20"/>
                <w:szCs w:val="20"/>
              </w:rPr>
            </w:pPr>
            <w:r w:rsidRPr="00EA3C52">
              <w:rPr>
                <w:rFonts w:ascii="Verdana" w:hAnsi="Verdana"/>
                <w:sz w:val="20"/>
                <w:szCs w:val="20"/>
              </w:rPr>
              <w:t xml:space="preserve">b) </w:t>
            </w:r>
            <w:r w:rsidR="000670E3">
              <w:rPr>
                <w:rFonts w:ascii="Verdana" w:hAnsi="Verdana"/>
                <w:sz w:val="20"/>
                <w:szCs w:val="20"/>
              </w:rPr>
              <w:t>664,4</w:t>
            </w:r>
            <w:r w:rsidRPr="00EA3C52">
              <w:rPr>
                <w:rFonts w:ascii="Verdana" w:hAnsi="Verdana"/>
                <w:sz w:val="20"/>
                <w:szCs w:val="20"/>
              </w:rPr>
              <w:t xml:space="preserve"> millones por cuenta del proyecto de desminado terrestre en el marco del convenio de subvención firmado c</w:t>
            </w:r>
            <w:r>
              <w:rPr>
                <w:rFonts w:ascii="Verdana" w:hAnsi="Verdana"/>
                <w:sz w:val="20"/>
                <w:szCs w:val="20"/>
              </w:rPr>
              <w:t xml:space="preserve">on la fundación Howard </w:t>
            </w:r>
            <w:proofErr w:type="spellStart"/>
            <w:r>
              <w:rPr>
                <w:rFonts w:ascii="Verdana" w:hAnsi="Verdana"/>
                <w:sz w:val="20"/>
                <w:szCs w:val="20"/>
              </w:rPr>
              <w:t>Buffett</w:t>
            </w:r>
            <w:proofErr w:type="spellEnd"/>
            <w:r>
              <w:rPr>
                <w:rFonts w:ascii="Verdana" w:hAnsi="Verdana"/>
                <w:sz w:val="20"/>
                <w:szCs w:val="20"/>
              </w:rPr>
              <w:t>.</w:t>
            </w:r>
          </w:p>
          <w:p w:rsidR="000B688F" w:rsidRPr="009B7746" w:rsidRDefault="000B688F" w:rsidP="000B688F">
            <w:pPr>
              <w:jc w:val="both"/>
              <w:rPr>
                <w:rFonts w:ascii="Verdana" w:hAnsi="Verdana"/>
                <w:sz w:val="20"/>
                <w:szCs w:val="20"/>
                <w:highlight w:val="yellow"/>
              </w:rPr>
            </w:pPr>
          </w:p>
          <w:p w:rsidR="00746AE6" w:rsidRPr="00AB640F" w:rsidRDefault="000B688F" w:rsidP="000B688F">
            <w:pPr>
              <w:jc w:val="both"/>
              <w:rPr>
                <w:rFonts w:ascii="Verdana" w:hAnsi="Verdana"/>
                <w:sz w:val="20"/>
                <w:szCs w:val="20"/>
                <w:highlight w:val="yellow"/>
              </w:rPr>
            </w:pPr>
            <w:r>
              <w:rPr>
                <w:rFonts w:ascii="Verdana" w:hAnsi="Verdana"/>
                <w:sz w:val="20"/>
                <w:szCs w:val="20"/>
              </w:rPr>
              <w:t>2) F</w:t>
            </w:r>
            <w:r w:rsidRPr="00EA3C52">
              <w:rPr>
                <w:rFonts w:ascii="Verdana" w:hAnsi="Verdana"/>
                <w:sz w:val="20"/>
                <w:szCs w:val="20"/>
              </w:rPr>
              <w:t xml:space="preserve">ortalecimiento de las capacidades tecnológicas de la información en </w:t>
            </w:r>
            <w:r>
              <w:rPr>
                <w:rFonts w:ascii="Verdana" w:hAnsi="Verdana"/>
                <w:sz w:val="20"/>
                <w:szCs w:val="20"/>
              </w:rPr>
              <w:t xml:space="preserve">APC-COLOMBIA, </w:t>
            </w:r>
            <w:r w:rsidRPr="00EA3C52">
              <w:rPr>
                <w:rFonts w:ascii="Verdana" w:hAnsi="Verdana"/>
                <w:sz w:val="20"/>
                <w:szCs w:val="20"/>
              </w:rPr>
              <w:t xml:space="preserve">con el </w:t>
            </w:r>
            <w:r>
              <w:rPr>
                <w:rFonts w:ascii="Verdana" w:hAnsi="Verdana"/>
                <w:sz w:val="20"/>
                <w:szCs w:val="20"/>
              </w:rPr>
              <w:t>5,47</w:t>
            </w:r>
            <w:r w:rsidRPr="00EA3C52">
              <w:rPr>
                <w:rFonts w:ascii="Verdana" w:hAnsi="Verdana"/>
                <w:sz w:val="20"/>
                <w:szCs w:val="20"/>
              </w:rPr>
              <w:t xml:space="preserve">% de la ejecución en inversión, equivalente a </w:t>
            </w:r>
            <w:r>
              <w:rPr>
                <w:rFonts w:ascii="Verdana" w:hAnsi="Verdana"/>
                <w:sz w:val="20"/>
                <w:szCs w:val="20"/>
              </w:rPr>
              <w:t>48,2</w:t>
            </w:r>
            <w:r w:rsidRPr="00EA3C52">
              <w:rPr>
                <w:rFonts w:ascii="Verdana" w:hAnsi="Verdana"/>
                <w:sz w:val="20"/>
                <w:szCs w:val="20"/>
              </w:rPr>
              <w:t xml:space="preserve"> millones </w:t>
            </w:r>
            <w:r>
              <w:rPr>
                <w:rFonts w:ascii="Verdana" w:hAnsi="Verdana"/>
                <w:sz w:val="20"/>
                <w:szCs w:val="20"/>
              </w:rPr>
              <w:t>para los</w:t>
            </w:r>
            <w:r w:rsidRPr="00EA3C52">
              <w:rPr>
                <w:rFonts w:ascii="Verdana" w:hAnsi="Verdana"/>
                <w:sz w:val="20"/>
                <w:szCs w:val="20"/>
              </w:rPr>
              <w:t xml:space="preserve"> servicios profesionales para la gestión del proye</w:t>
            </w:r>
            <w:r>
              <w:rPr>
                <w:rFonts w:ascii="Verdana" w:hAnsi="Verdana"/>
                <w:sz w:val="20"/>
                <w:szCs w:val="20"/>
              </w:rPr>
              <w:t>cto.</w:t>
            </w:r>
          </w:p>
        </w:tc>
        <w:tc>
          <w:tcPr>
            <w:tcW w:w="6640" w:type="dxa"/>
            <w:vAlign w:val="center"/>
          </w:tcPr>
          <w:p w:rsidR="00265D9B" w:rsidRPr="00CB5599" w:rsidRDefault="00265D9B" w:rsidP="00265D9B">
            <w:pPr>
              <w:jc w:val="both"/>
              <w:rPr>
                <w:rFonts w:ascii="Verdana" w:eastAsia="Times New Roman" w:hAnsi="Verdana" w:cs="Times New Roman"/>
                <w:sz w:val="20"/>
                <w:szCs w:val="20"/>
              </w:rPr>
            </w:pPr>
            <w:r w:rsidRPr="00CB5599">
              <w:rPr>
                <w:rFonts w:ascii="Verdana" w:eastAsia="Times New Roman" w:hAnsi="Verdana" w:cs="Times New Roman"/>
                <w:b/>
                <w:sz w:val="20"/>
                <w:szCs w:val="20"/>
              </w:rPr>
              <w:lastRenderedPageBreak/>
              <w:t>Indicador:</w:t>
            </w:r>
            <w:r w:rsidRPr="00CB5599">
              <w:rPr>
                <w:rFonts w:ascii="Verdana" w:eastAsia="Times New Roman" w:hAnsi="Verdana" w:cs="Times New Roman"/>
                <w:sz w:val="20"/>
                <w:szCs w:val="20"/>
              </w:rPr>
              <w:t xml:space="preserve"> Ejecución Obligaciones / Apropiación Vigente.</w:t>
            </w:r>
          </w:p>
          <w:p w:rsidR="00265D9B" w:rsidRPr="00CB5599" w:rsidRDefault="006F65B6" w:rsidP="00265D9B">
            <w:pPr>
              <w:jc w:val="both"/>
              <w:rPr>
                <w:rFonts w:ascii="Verdana" w:eastAsia="Times New Roman" w:hAnsi="Verdana" w:cs="Times New Roman"/>
                <w:sz w:val="20"/>
                <w:szCs w:val="20"/>
              </w:rPr>
            </w:pPr>
            <w:r w:rsidRPr="00CB5599">
              <w:rPr>
                <w:rFonts w:ascii="Verdana" w:eastAsia="Times New Roman" w:hAnsi="Verdana" w:cs="Times New Roman"/>
                <w:b/>
                <w:sz w:val="20"/>
                <w:szCs w:val="20"/>
              </w:rPr>
              <w:t>Indicador:</w:t>
            </w:r>
            <w:r w:rsidR="00265D9B" w:rsidRPr="00CB5599">
              <w:rPr>
                <w:rFonts w:ascii="Verdana" w:eastAsia="Times New Roman" w:hAnsi="Verdana" w:cs="Times New Roman"/>
                <w:sz w:val="20"/>
                <w:szCs w:val="20"/>
              </w:rPr>
              <w:t xml:space="preserve"> </w:t>
            </w:r>
            <w:r w:rsidR="001D11D2">
              <w:rPr>
                <w:rFonts w:ascii="Verdana" w:eastAsia="Times New Roman" w:hAnsi="Verdana" w:cs="Times New Roman"/>
                <w:sz w:val="20"/>
                <w:szCs w:val="20"/>
              </w:rPr>
              <w:t xml:space="preserve">22,9 </w:t>
            </w:r>
            <w:r w:rsidR="008C5467" w:rsidRPr="00CB5599">
              <w:rPr>
                <w:rFonts w:ascii="Verdana" w:eastAsia="Times New Roman" w:hAnsi="Verdana" w:cs="Times New Roman"/>
                <w:sz w:val="20"/>
                <w:szCs w:val="20"/>
              </w:rPr>
              <w:t>/</w:t>
            </w:r>
            <w:r w:rsidR="001D11D2">
              <w:rPr>
                <w:rFonts w:ascii="Verdana" w:eastAsia="Times New Roman" w:hAnsi="Verdana" w:cs="Times New Roman"/>
                <w:sz w:val="20"/>
                <w:szCs w:val="20"/>
              </w:rPr>
              <w:t xml:space="preserve"> 65.618,1</w:t>
            </w:r>
            <w:r w:rsidR="008C5467" w:rsidRPr="00CB5599">
              <w:rPr>
                <w:rFonts w:ascii="Verdana" w:eastAsia="Times New Roman" w:hAnsi="Verdana" w:cs="Times New Roman"/>
                <w:sz w:val="20"/>
                <w:szCs w:val="20"/>
              </w:rPr>
              <w:t xml:space="preserve"> </w:t>
            </w:r>
            <w:r w:rsidR="00265D9B" w:rsidRPr="00CB5599">
              <w:rPr>
                <w:rFonts w:ascii="Verdana" w:eastAsia="Times New Roman" w:hAnsi="Verdana" w:cs="Times New Roman"/>
                <w:sz w:val="20"/>
                <w:szCs w:val="20"/>
              </w:rPr>
              <w:t xml:space="preserve">= </w:t>
            </w:r>
            <w:r w:rsidR="001D11D2">
              <w:rPr>
                <w:rFonts w:ascii="Verdana" w:eastAsia="Times New Roman" w:hAnsi="Verdana" w:cs="Times New Roman"/>
                <w:sz w:val="20"/>
                <w:szCs w:val="20"/>
              </w:rPr>
              <w:t>0,03</w:t>
            </w:r>
            <w:r w:rsidR="00265D9B" w:rsidRPr="00CB5599">
              <w:rPr>
                <w:rFonts w:ascii="Verdana" w:eastAsia="Times New Roman" w:hAnsi="Verdana" w:cs="Times New Roman"/>
                <w:sz w:val="20"/>
                <w:szCs w:val="20"/>
              </w:rPr>
              <w:t xml:space="preserve">%. </w:t>
            </w:r>
          </w:p>
          <w:p w:rsidR="002B1F8C" w:rsidRPr="00AB640F" w:rsidRDefault="002B1F8C" w:rsidP="00265D9B">
            <w:pPr>
              <w:jc w:val="both"/>
              <w:rPr>
                <w:rFonts w:ascii="Verdana" w:eastAsia="Times New Roman" w:hAnsi="Verdana" w:cs="Times New Roman"/>
                <w:sz w:val="20"/>
                <w:szCs w:val="20"/>
                <w:highlight w:val="yellow"/>
              </w:rPr>
            </w:pPr>
          </w:p>
          <w:p w:rsidR="00265D9B" w:rsidRPr="0062575E" w:rsidRDefault="00265D9B" w:rsidP="00265D9B">
            <w:pPr>
              <w:jc w:val="both"/>
              <w:rPr>
                <w:rFonts w:ascii="Verdana" w:eastAsia="Times New Roman" w:hAnsi="Verdana" w:cs="Times New Roman"/>
                <w:sz w:val="20"/>
                <w:szCs w:val="20"/>
              </w:rPr>
            </w:pPr>
            <w:r w:rsidRPr="0062575E">
              <w:rPr>
                <w:rFonts w:ascii="Verdana" w:eastAsia="Times New Roman" w:hAnsi="Verdana" w:cs="Times New Roman"/>
                <w:sz w:val="20"/>
                <w:szCs w:val="20"/>
              </w:rPr>
              <w:t xml:space="preserve">Se obligaron recursos por valor de </w:t>
            </w:r>
            <w:r w:rsidR="009E2EAA" w:rsidRPr="0062575E">
              <w:rPr>
                <w:rFonts w:ascii="Verdana" w:eastAsia="Times New Roman" w:hAnsi="Verdana" w:cs="Times New Roman"/>
                <w:sz w:val="20"/>
                <w:szCs w:val="20"/>
              </w:rPr>
              <w:t>22,9</w:t>
            </w:r>
            <w:r w:rsidR="008C5467" w:rsidRPr="0062575E">
              <w:rPr>
                <w:rFonts w:ascii="Verdana" w:eastAsia="Times New Roman" w:hAnsi="Verdana" w:cs="Times New Roman"/>
                <w:sz w:val="20"/>
                <w:szCs w:val="20"/>
              </w:rPr>
              <w:t xml:space="preserve"> millones equivalentes al </w:t>
            </w:r>
            <w:r w:rsidR="009E2EAA" w:rsidRPr="0062575E">
              <w:rPr>
                <w:rFonts w:ascii="Verdana" w:eastAsia="Times New Roman" w:hAnsi="Verdana" w:cs="Times New Roman"/>
                <w:sz w:val="20"/>
                <w:szCs w:val="20"/>
              </w:rPr>
              <w:t>0,03</w:t>
            </w:r>
            <w:r w:rsidRPr="0062575E">
              <w:rPr>
                <w:rFonts w:ascii="Verdana" w:eastAsia="Times New Roman" w:hAnsi="Verdana" w:cs="Times New Roman"/>
                <w:sz w:val="20"/>
                <w:szCs w:val="20"/>
              </w:rPr>
              <w:t>% de la apropiación de inver</w:t>
            </w:r>
            <w:r w:rsidR="00A750DC" w:rsidRPr="0062575E">
              <w:rPr>
                <w:rFonts w:ascii="Verdana" w:eastAsia="Times New Roman" w:hAnsi="Verdana" w:cs="Times New Roman"/>
                <w:sz w:val="20"/>
                <w:szCs w:val="20"/>
              </w:rPr>
              <w:t xml:space="preserve">sión, frente a una meta del </w:t>
            </w:r>
            <w:r w:rsidR="0062575E" w:rsidRPr="0062575E">
              <w:rPr>
                <w:rFonts w:ascii="Verdana" w:eastAsia="Times New Roman" w:hAnsi="Verdana" w:cs="Times New Roman"/>
                <w:sz w:val="20"/>
                <w:szCs w:val="20"/>
              </w:rPr>
              <w:t>0,97</w:t>
            </w:r>
            <w:r w:rsidRPr="0062575E">
              <w:rPr>
                <w:rFonts w:ascii="Verdana" w:eastAsia="Times New Roman" w:hAnsi="Verdana" w:cs="Times New Roman"/>
                <w:sz w:val="20"/>
                <w:szCs w:val="20"/>
              </w:rPr>
              <w:t xml:space="preserve">%, con un déficit de </w:t>
            </w:r>
            <w:r w:rsidR="0062575E" w:rsidRPr="0062575E">
              <w:rPr>
                <w:rFonts w:ascii="Verdana" w:eastAsia="Times New Roman" w:hAnsi="Verdana" w:cs="Times New Roman"/>
                <w:sz w:val="20"/>
                <w:szCs w:val="20"/>
              </w:rPr>
              <w:t>615,8</w:t>
            </w:r>
            <w:r w:rsidRPr="0062575E">
              <w:rPr>
                <w:rFonts w:ascii="Verdana" w:eastAsia="Times New Roman" w:hAnsi="Verdana" w:cs="Times New Roman"/>
                <w:sz w:val="20"/>
                <w:szCs w:val="20"/>
              </w:rPr>
              <w:t xml:space="preserve"> millones, </w:t>
            </w:r>
            <w:r w:rsidR="0062575E" w:rsidRPr="0062575E">
              <w:rPr>
                <w:rFonts w:ascii="Verdana" w:eastAsia="Times New Roman" w:hAnsi="Verdana" w:cs="Times New Roman"/>
                <w:sz w:val="20"/>
                <w:szCs w:val="20"/>
              </w:rPr>
              <w:t xml:space="preserve">debido a que los contratistas encargados de proveer combustible para el proyecto de desminado terrestre en el marco del convenio de subvención firmado con la fundación Howard </w:t>
            </w:r>
            <w:proofErr w:type="spellStart"/>
            <w:r w:rsidR="0062575E" w:rsidRPr="0062575E">
              <w:rPr>
                <w:rFonts w:ascii="Verdana" w:eastAsia="Times New Roman" w:hAnsi="Verdana" w:cs="Times New Roman"/>
                <w:sz w:val="20"/>
                <w:szCs w:val="20"/>
              </w:rPr>
              <w:t>Buffett</w:t>
            </w:r>
            <w:proofErr w:type="spellEnd"/>
            <w:r w:rsidR="0062575E" w:rsidRPr="0062575E">
              <w:rPr>
                <w:rFonts w:ascii="Verdana" w:eastAsia="Times New Roman" w:hAnsi="Verdana" w:cs="Times New Roman"/>
                <w:sz w:val="20"/>
                <w:szCs w:val="20"/>
              </w:rPr>
              <w:t>, pasan factura mes vencido y en el mes de enero, no alcanzaron a proveer ningún servicio. Además, no se solicitó PAC para el pago de honorarios a los profesionales encargados de la gestión del proyecto de Fortalecimiento de las capacidades tecnológicas de la información en APC-COLOMBIA.</w:t>
            </w:r>
          </w:p>
          <w:p w:rsidR="0062575E" w:rsidRPr="00AB640F" w:rsidRDefault="0062575E" w:rsidP="00265D9B">
            <w:pPr>
              <w:jc w:val="both"/>
              <w:rPr>
                <w:rFonts w:ascii="Verdana" w:eastAsia="Times New Roman" w:hAnsi="Verdana" w:cs="Times New Roman"/>
                <w:sz w:val="20"/>
                <w:szCs w:val="20"/>
                <w:highlight w:val="yellow"/>
                <w:lang w:val="es-CO"/>
              </w:rPr>
            </w:pPr>
          </w:p>
          <w:p w:rsidR="006F65B6" w:rsidRDefault="00274FB5" w:rsidP="008E618D">
            <w:pPr>
              <w:jc w:val="both"/>
              <w:rPr>
                <w:rFonts w:ascii="Verdana" w:hAnsi="Verdana"/>
                <w:color w:val="FF0000"/>
                <w:sz w:val="20"/>
                <w:szCs w:val="20"/>
                <w:highlight w:val="yellow"/>
              </w:rPr>
            </w:pPr>
            <w:r w:rsidRPr="006B118E">
              <w:rPr>
                <w:rFonts w:ascii="Verdana" w:hAnsi="Verdana"/>
                <w:sz w:val="20"/>
                <w:szCs w:val="20"/>
              </w:rPr>
              <w:t xml:space="preserve">La ejecución </w:t>
            </w:r>
            <w:r>
              <w:rPr>
                <w:rFonts w:ascii="Verdana" w:hAnsi="Verdana"/>
                <w:sz w:val="20"/>
                <w:szCs w:val="20"/>
              </w:rPr>
              <w:t>de los gastos de inversión se debe en su totalidad al proyecto de Administración, Ejecución y Seguimiento de Recursos d</w:t>
            </w:r>
            <w:r w:rsidRPr="00F57B74">
              <w:rPr>
                <w:rFonts w:ascii="Verdana" w:hAnsi="Verdana"/>
                <w:sz w:val="20"/>
                <w:szCs w:val="20"/>
              </w:rPr>
              <w:t>e Cooperación Int</w:t>
            </w:r>
            <w:r>
              <w:rPr>
                <w:rFonts w:ascii="Verdana" w:hAnsi="Verdana"/>
                <w:sz w:val="20"/>
                <w:szCs w:val="20"/>
              </w:rPr>
              <w:t xml:space="preserve">ernacional a Nivel </w:t>
            </w:r>
            <w:r w:rsidRPr="00F57B74">
              <w:rPr>
                <w:rFonts w:ascii="Verdana" w:hAnsi="Verdana"/>
                <w:sz w:val="20"/>
                <w:szCs w:val="20"/>
              </w:rPr>
              <w:t xml:space="preserve">Nacional </w:t>
            </w:r>
            <w:r w:rsidRPr="006B118E">
              <w:rPr>
                <w:rFonts w:ascii="Verdana" w:hAnsi="Verdana"/>
                <w:sz w:val="20"/>
                <w:szCs w:val="20"/>
              </w:rPr>
              <w:t xml:space="preserve">con el </w:t>
            </w:r>
            <w:r>
              <w:rPr>
                <w:rFonts w:ascii="Verdana" w:hAnsi="Verdana"/>
                <w:sz w:val="20"/>
                <w:szCs w:val="20"/>
              </w:rPr>
              <w:t xml:space="preserve">100%, </w:t>
            </w:r>
            <w:r w:rsidRPr="006B118E">
              <w:rPr>
                <w:rFonts w:ascii="Verdana" w:hAnsi="Verdana"/>
                <w:sz w:val="20"/>
                <w:szCs w:val="20"/>
              </w:rPr>
              <w:t xml:space="preserve">equivalente a </w:t>
            </w:r>
            <w:r>
              <w:rPr>
                <w:rFonts w:ascii="Verdana" w:hAnsi="Verdana"/>
                <w:sz w:val="20"/>
                <w:szCs w:val="20"/>
              </w:rPr>
              <w:t>22,9 millones, correspondientes al pago de los</w:t>
            </w:r>
            <w:r w:rsidRPr="00EA3C52">
              <w:rPr>
                <w:rFonts w:ascii="Verdana" w:hAnsi="Verdana"/>
                <w:sz w:val="20"/>
                <w:szCs w:val="20"/>
              </w:rPr>
              <w:t xml:space="preserve"> servicios profesionales</w:t>
            </w:r>
            <w:r>
              <w:rPr>
                <w:rFonts w:ascii="Verdana" w:hAnsi="Verdana"/>
                <w:sz w:val="20"/>
                <w:szCs w:val="20"/>
              </w:rPr>
              <w:t xml:space="preserve"> para la gestión del proyecto </w:t>
            </w:r>
            <w:r w:rsidRPr="00B176DD">
              <w:rPr>
                <w:rFonts w:ascii="Verdana" w:hAnsi="Verdana"/>
                <w:sz w:val="20"/>
                <w:szCs w:val="20"/>
              </w:rPr>
              <w:t>“Estrategia regional de emprendimiento” financiado con recursos donados por la Unión Europea.</w:t>
            </w:r>
          </w:p>
          <w:p w:rsidR="00274FB5" w:rsidRDefault="00274FB5" w:rsidP="008E618D">
            <w:pPr>
              <w:jc w:val="both"/>
              <w:rPr>
                <w:rFonts w:ascii="Verdana" w:hAnsi="Verdana"/>
                <w:color w:val="FF0000"/>
                <w:sz w:val="20"/>
                <w:szCs w:val="20"/>
                <w:highlight w:val="yellow"/>
              </w:rPr>
            </w:pPr>
          </w:p>
          <w:p w:rsidR="00274FB5" w:rsidRDefault="00274FB5" w:rsidP="008E618D">
            <w:pPr>
              <w:jc w:val="both"/>
              <w:rPr>
                <w:rFonts w:ascii="Verdana" w:hAnsi="Verdana"/>
                <w:color w:val="FF0000"/>
                <w:sz w:val="20"/>
                <w:szCs w:val="20"/>
                <w:highlight w:val="yellow"/>
              </w:rPr>
            </w:pPr>
          </w:p>
          <w:p w:rsidR="00274FB5" w:rsidRPr="00274FB5" w:rsidRDefault="00274FB5" w:rsidP="008E618D">
            <w:pPr>
              <w:jc w:val="both"/>
              <w:rPr>
                <w:rFonts w:ascii="Verdana" w:hAnsi="Verdana"/>
                <w:color w:val="FF0000"/>
                <w:sz w:val="20"/>
                <w:szCs w:val="20"/>
                <w:highlight w:val="yellow"/>
              </w:rPr>
            </w:pPr>
          </w:p>
        </w:tc>
      </w:tr>
    </w:tbl>
    <w:p w:rsidR="00FC33F3" w:rsidRDefault="00FC33F3" w:rsidP="00B9595B">
      <w:pPr>
        <w:rPr>
          <w:rFonts w:ascii="Verdana" w:hAnsi="Verdana"/>
          <w:b/>
          <w:sz w:val="20"/>
          <w:szCs w:val="20"/>
          <w:highlight w:val="yellow"/>
        </w:rPr>
      </w:pPr>
    </w:p>
    <w:p w:rsidR="004509FE" w:rsidRDefault="004509FE" w:rsidP="00FC33F3">
      <w:pPr>
        <w:jc w:val="both"/>
        <w:rPr>
          <w:rFonts w:ascii="Verdana" w:hAnsi="Verdana"/>
          <w:b/>
          <w:sz w:val="22"/>
        </w:rPr>
      </w:pPr>
    </w:p>
    <w:p w:rsidR="00FC33F3" w:rsidRPr="00FC33F3" w:rsidRDefault="00FC33F3" w:rsidP="00FC33F3">
      <w:pPr>
        <w:jc w:val="both"/>
        <w:rPr>
          <w:rFonts w:ascii="Verdana" w:hAnsi="Verdana"/>
          <w:b/>
          <w:sz w:val="22"/>
        </w:rPr>
      </w:pPr>
      <w:r w:rsidRPr="00FC33F3">
        <w:rPr>
          <w:rFonts w:ascii="Verdana" w:hAnsi="Verdana"/>
          <w:b/>
          <w:sz w:val="22"/>
        </w:rPr>
        <w:t>Proyecto de inversión C-0208-1000-6: Fortalecimiento de la Oferta Académica Internacional de Colombia en el Marco de la Cooperación Sur-Sur, Nacional</w:t>
      </w:r>
    </w:p>
    <w:tbl>
      <w:tblPr>
        <w:tblStyle w:val="Tablaconcuadrcula"/>
        <w:tblW w:w="0" w:type="auto"/>
        <w:tblLook w:val="04A0" w:firstRow="1" w:lastRow="0" w:firstColumn="1" w:lastColumn="0" w:noHBand="0" w:noVBand="1"/>
      </w:tblPr>
      <w:tblGrid>
        <w:gridCol w:w="6638"/>
        <w:gridCol w:w="6640"/>
      </w:tblGrid>
      <w:tr w:rsidR="00FC33F3" w:rsidRPr="00560B40" w:rsidTr="007337BD">
        <w:tc>
          <w:tcPr>
            <w:tcW w:w="6638" w:type="dxa"/>
          </w:tcPr>
          <w:p w:rsidR="00FC33F3" w:rsidRPr="00560B40" w:rsidRDefault="00FC33F3" w:rsidP="007337BD">
            <w:pPr>
              <w:jc w:val="center"/>
              <w:rPr>
                <w:rFonts w:ascii="Verdana" w:hAnsi="Verdana"/>
                <w:b/>
              </w:rPr>
            </w:pPr>
            <w:r w:rsidRPr="00560B40">
              <w:rPr>
                <w:rFonts w:ascii="Verdana" w:hAnsi="Verdana"/>
                <w:b/>
              </w:rPr>
              <w:t>Compromisos</w:t>
            </w:r>
          </w:p>
        </w:tc>
        <w:tc>
          <w:tcPr>
            <w:tcW w:w="6640" w:type="dxa"/>
          </w:tcPr>
          <w:p w:rsidR="00FC33F3" w:rsidRPr="00560B40" w:rsidRDefault="00FC33F3" w:rsidP="007337BD">
            <w:pPr>
              <w:jc w:val="center"/>
              <w:rPr>
                <w:rFonts w:ascii="Verdana" w:hAnsi="Verdana"/>
                <w:b/>
              </w:rPr>
            </w:pPr>
            <w:r w:rsidRPr="00560B40">
              <w:rPr>
                <w:rFonts w:ascii="Verdana" w:hAnsi="Verdana"/>
                <w:b/>
              </w:rPr>
              <w:t>Obligaciones</w:t>
            </w:r>
          </w:p>
        </w:tc>
      </w:tr>
      <w:tr w:rsidR="00FC33F3" w:rsidRPr="00AB640F" w:rsidTr="007337BD">
        <w:tc>
          <w:tcPr>
            <w:tcW w:w="6638" w:type="dxa"/>
            <w:vAlign w:val="center"/>
          </w:tcPr>
          <w:p w:rsidR="00FC33F3" w:rsidRPr="00560B40" w:rsidRDefault="00FC33F3" w:rsidP="007337BD">
            <w:pPr>
              <w:jc w:val="both"/>
              <w:rPr>
                <w:rFonts w:ascii="Verdana" w:hAnsi="Verdana"/>
                <w:sz w:val="20"/>
              </w:rPr>
            </w:pPr>
            <w:r w:rsidRPr="00560B40">
              <w:rPr>
                <w:rFonts w:ascii="Verdana" w:hAnsi="Verdana"/>
                <w:b/>
                <w:sz w:val="20"/>
              </w:rPr>
              <w:t>Indicador:</w:t>
            </w:r>
            <w:r w:rsidRPr="00560B40">
              <w:rPr>
                <w:rFonts w:ascii="Verdana" w:hAnsi="Verdana"/>
                <w:sz w:val="20"/>
              </w:rPr>
              <w:t xml:space="preserve"> Ejecución Compromisos / Apropiación Vigente.</w:t>
            </w:r>
          </w:p>
          <w:p w:rsidR="00FC33F3" w:rsidRPr="00560B40" w:rsidRDefault="00FC33F3" w:rsidP="007337BD">
            <w:pPr>
              <w:jc w:val="both"/>
              <w:rPr>
                <w:rFonts w:ascii="Verdana" w:hAnsi="Verdana"/>
                <w:sz w:val="20"/>
              </w:rPr>
            </w:pPr>
            <w:r w:rsidRPr="00560B40">
              <w:rPr>
                <w:rFonts w:ascii="Verdana" w:hAnsi="Verdana"/>
                <w:b/>
                <w:sz w:val="20"/>
              </w:rPr>
              <w:t>Indicador:</w:t>
            </w:r>
            <w:r w:rsidRPr="00560B40">
              <w:rPr>
                <w:rFonts w:ascii="Verdana" w:hAnsi="Verdana"/>
                <w:sz w:val="20"/>
              </w:rPr>
              <w:t xml:space="preserve"> </w:t>
            </w:r>
            <w:r>
              <w:rPr>
                <w:rFonts w:ascii="Verdana" w:hAnsi="Verdana"/>
                <w:sz w:val="20"/>
              </w:rPr>
              <w:t>0,0</w:t>
            </w:r>
            <w:r w:rsidRPr="00560B40">
              <w:rPr>
                <w:rFonts w:ascii="Verdana" w:hAnsi="Verdana"/>
                <w:sz w:val="20"/>
              </w:rPr>
              <w:t xml:space="preserve"> / </w:t>
            </w:r>
            <w:r>
              <w:rPr>
                <w:rFonts w:ascii="Verdana" w:hAnsi="Verdana"/>
                <w:sz w:val="20"/>
              </w:rPr>
              <w:t xml:space="preserve">1.323,6 </w:t>
            </w:r>
            <w:r w:rsidRPr="00560B40">
              <w:rPr>
                <w:rFonts w:ascii="Verdana" w:hAnsi="Verdana"/>
                <w:sz w:val="20"/>
              </w:rPr>
              <w:t xml:space="preserve">= </w:t>
            </w:r>
            <w:r>
              <w:rPr>
                <w:rFonts w:ascii="Verdana" w:hAnsi="Verdana"/>
                <w:sz w:val="20"/>
              </w:rPr>
              <w:t>0,00</w:t>
            </w:r>
            <w:r w:rsidRPr="00560B40">
              <w:rPr>
                <w:rFonts w:ascii="Verdana" w:hAnsi="Verdana"/>
                <w:sz w:val="20"/>
              </w:rPr>
              <w:t>%.</w:t>
            </w:r>
          </w:p>
          <w:p w:rsidR="00FC33F3" w:rsidRPr="00560B40" w:rsidRDefault="00FC33F3" w:rsidP="007337BD">
            <w:pPr>
              <w:jc w:val="both"/>
              <w:rPr>
                <w:rFonts w:ascii="Verdana" w:hAnsi="Verdana"/>
                <w:sz w:val="20"/>
              </w:rPr>
            </w:pPr>
          </w:p>
          <w:p w:rsidR="00FC33F3" w:rsidRPr="00560B40" w:rsidRDefault="00FC33F3" w:rsidP="007337BD">
            <w:pPr>
              <w:jc w:val="both"/>
            </w:pPr>
            <w:r w:rsidRPr="00560B40">
              <w:rPr>
                <w:rFonts w:ascii="Verdana" w:hAnsi="Verdana"/>
                <w:sz w:val="20"/>
              </w:rPr>
              <w:t>No hubo ejecución en el mes de enero y no se tenía proyectado ningún gasto en el mes de enero.</w:t>
            </w:r>
          </w:p>
        </w:tc>
        <w:tc>
          <w:tcPr>
            <w:tcW w:w="6640" w:type="dxa"/>
            <w:vAlign w:val="center"/>
          </w:tcPr>
          <w:p w:rsidR="00FC33F3" w:rsidRPr="00560B40" w:rsidRDefault="00FC33F3" w:rsidP="007337BD">
            <w:pPr>
              <w:jc w:val="both"/>
              <w:rPr>
                <w:rFonts w:ascii="Verdana" w:hAnsi="Verdana"/>
                <w:sz w:val="20"/>
              </w:rPr>
            </w:pPr>
            <w:r w:rsidRPr="00560B40">
              <w:rPr>
                <w:rFonts w:ascii="Verdana" w:hAnsi="Verdana"/>
                <w:b/>
                <w:sz w:val="20"/>
              </w:rPr>
              <w:t>Indicador:</w:t>
            </w:r>
            <w:r w:rsidRPr="00560B40">
              <w:rPr>
                <w:rFonts w:ascii="Verdana" w:hAnsi="Verdana"/>
                <w:sz w:val="20"/>
              </w:rPr>
              <w:t xml:space="preserve"> Ejecución Obligaciones / Apropiación Vigente.</w:t>
            </w:r>
          </w:p>
          <w:p w:rsidR="00FC33F3" w:rsidRPr="00560B40" w:rsidRDefault="00FC33F3" w:rsidP="007337BD">
            <w:pPr>
              <w:jc w:val="both"/>
              <w:rPr>
                <w:rFonts w:ascii="Verdana" w:hAnsi="Verdana"/>
                <w:sz w:val="20"/>
              </w:rPr>
            </w:pPr>
            <w:r w:rsidRPr="00560B40">
              <w:rPr>
                <w:rFonts w:ascii="Verdana" w:hAnsi="Verdana"/>
                <w:b/>
                <w:sz w:val="20"/>
              </w:rPr>
              <w:t>Indicador:</w:t>
            </w:r>
            <w:r w:rsidRPr="00560B40">
              <w:rPr>
                <w:rFonts w:ascii="Verdana" w:hAnsi="Verdana"/>
                <w:sz w:val="20"/>
              </w:rPr>
              <w:t xml:space="preserve"> 0,0 / </w:t>
            </w:r>
            <w:r>
              <w:rPr>
                <w:rFonts w:ascii="Verdana" w:hAnsi="Verdana"/>
                <w:sz w:val="20"/>
              </w:rPr>
              <w:t xml:space="preserve">1.326,0 </w:t>
            </w:r>
            <w:r w:rsidRPr="00560B40">
              <w:rPr>
                <w:rFonts w:ascii="Verdana" w:hAnsi="Verdana"/>
                <w:sz w:val="20"/>
              </w:rPr>
              <w:t>= 0,00%.</w:t>
            </w:r>
          </w:p>
          <w:p w:rsidR="00FC33F3" w:rsidRPr="00560B40" w:rsidRDefault="00FC33F3" w:rsidP="007337BD">
            <w:pPr>
              <w:jc w:val="both"/>
              <w:rPr>
                <w:rFonts w:ascii="Verdana" w:hAnsi="Verdana"/>
                <w:sz w:val="20"/>
              </w:rPr>
            </w:pPr>
          </w:p>
          <w:p w:rsidR="00FC33F3" w:rsidRPr="00560B40" w:rsidRDefault="00FC33F3" w:rsidP="007337BD">
            <w:pPr>
              <w:jc w:val="both"/>
            </w:pPr>
            <w:r w:rsidRPr="00560B40">
              <w:rPr>
                <w:rFonts w:ascii="Verdana" w:hAnsi="Verdana"/>
                <w:sz w:val="20"/>
              </w:rPr>
              <w:t>No hubo ejecución en el mes de enero y no se tenía proyectado ningún gasto en el mes de enero.</w:t>
            </w:r>
          </w:p>
        </w:tc>
      </w:tr>
    </w:tbl>
    <w:p w:rsidR="00FC33F3" w:rsidRPr="00AB640F" w:rsidRDefault="00FC33F3" w:rsidP="00FC33F3">
      <w:pPr>
        <w:jc w:val="both"/>
        <w:rPr>
          <w:highlight w:val="yellow"/>
        </w:rPr>
      </w:pPr>
    </w:p>
    <w:p w:rsidR="004509FE" w:rsidRDefault="004509FE" w:rsidP="00FC33F3">
      <w:pPr>
        <w:jc w:val="both"/>
        <w:rPr>
          <w:rFonts w:ascii="Verdana" w:hAnsi="Verdana"/>
          <w:b/>
          <w:sz w:val="22"/>
        </w:rPr>
      </w:pPr>
    </w:p>
    <w:p w:rsidR="00FC33F3" w:rsidRPr="00FC33F3" w:rsidRDefault="00FC33F3" w:rsidP="00FC33F3">
      <w:pPr>
        <w:jc w:val="both"/>
        <w:rPr>
          <w:rFonts w:ascii="Verdana" w:hAnsi="Verdana"/>
          <w:b/>
          <w:sz w:val="22"/>
        </w:rPr>
      </w:pPr>
      <w:r w:rsidRPr="00FC33F3">
        <w:rPr>
          <w:rFonts w:ascii="Verdana" w:hAnsi="Verdana"/>
          <w:b/>
          <w:sz w:val="22"/>
        </w:rPr>
        <w:t>Proyecto de inversión C-0208-1000-7: Implementación de Proyectos de Cooperación Internacional No Reembolsable con Aporte de Recursos de Contrapartida, Nacional</w:t>
      </w:r>
    </w:p>
    <w:tbl>
      <w:tblPr>
        <w:tblStyle w:val="Tablaconcuadrcula"/>
        <w:tblW w:w="0" w:type="auto"/>
        <w:tblLook w:val="04A0" w:firstRow="1" w:lastRow="0" w:firstColumn="1" w:lastColumn="0" w:noHBand="0" w:noVBand="1"/>
      </w:tblPr>
      <w:tblGrid>
        <w:gridCol w:w="6638"/>
        <w:gridCol w:w="6640"/>
      </w:tblGrid>
      <w:tr w:rsidR="00FC33F3" w:rsidRPr="00560B40" w:rsidTr="007337BD">
        <w:tc>
          <w:tcPr>
            <w:tcW w:w="6638" w:type="dxa"/>
          </w:tcPr>
          <w:p w:rsidR="00FC33F3" w:rsidRPr="00560B40" w:rsidRDefault="00FC33F3" w:rsidP="007337BD">
            <w:pPr>
              <w:jc w:val="center"/>
              <w:rPr>
                <w:rFonts w:ascii="Verdana" w:hAnsi="Verdana"/>
                <w:b/>
              </w:rPr>
            </w:pPr>
            <w:r w:rsidRPr="00560B40">
              <w:rPr>
                <w:rFonts w:ascii="Verdana" w:hAnsi="Verdana"/>
                <w:b/>
              </w:rPr>
              <w:t>Compromisos</w:t>
            </w:r>
          </w:p>
        </w:tc>
        <w:tc>
          <w:tcPr>
            <w:tcW w:w="6640" w:type="dxa"/>
          </w:tcPr>
          <w:p w:rsidR="00FC33F3" w:rsidRPr="00560B40" w:rsidRDefault="00FC33F3" w:rsidP="007337BD">
            <w:pPr>
              <w:jc w:val="center"/>
              <w:rPr>
                <w:rFonts w:ascii="Verdana" w:hAnsi="Verdana"/>
                <w:b/>
              </w:rPr>
            </w:pPr>
            <w:r w:rsidRPr="00560B40">
              <w:rPr>
                <w:rFonts w:ascii="Verdana" w:hAnsi="Verdana"/>
                <w:b/>
              </w:rPr>
              <w:t>Obligaciones</w:t>
            </w:r>
          </w:p>
        </w:tc>
      </w:tr>
      <w:tr w:rsidR="00FC33F3" w:rsidRPr="00560B40" w:rsidTr="007337BD">
        <w:tc>
          <w:tcPr>
            <w:tcW w:w="6638" w:type="dxa"/>
            <w:vAlign w:val="center"/>
          </w:tcPr>
          <w:p w:rsidR="00FC33F3" w:rsidRPr="00560B40" w:rsidRDefault="00FC33F3" w:rsidP="007337BD">
            <w:pPr>
              <w:jc w:val="both"/>
              <w:rPr>
                <w:rFonts w:ascii="Verdana" w:hAnsi="Verdana"/>
                <w:sz w:val="20"/>
              </w:rPr>
            </w:pPr>
            <w:r w:rsidRPr="00560B40">
              <w:rPr>
                <w:rFonts w:ascii="Verdana" w:hAnsi="Verdana"/>
                <w:b/>
                <w:sz w:val="20"/>
              </w:rPr>
              <w:t>Indicador:</w:t>
            </w:r>
            <w:r w:rsidRPr="00560B40">
              <w:rPr>
                <w:rFonts w:ascii="Verdana" w:hAnsi="Verdana"/>
                <w:sz w:val="20"/>
              </w:rPr>
              <w:t xml:space="preserve"> Ejecución Compromisos / Apropiación Vigente.</w:t>
            </w:r>
          </w:p>
          <w:p w:rsidR="00FC33F3" w:rsidRPr="00560B40" w:rsidRDefault="00FC33F3" w:rsidP="007337BD">
            <w:pPr>
              <w:jc w:val="both"/>
              <w:rPr>
                <w:rFonts w:ascii="Verdana" w:hAnsi="Verdana"/>
                <w:sz w:val="20"/>
              </w:rPr>
            </w:pPr>
            <w:r w:rsidRPr="00560B40">
              <w:rPr>
                <w:rFonts w:ascii="Verdana" w:hAnsi="Verdana"/>
                <w:b/>
                <w:sz w:val="20"/>
              </w:rPr>
              <w:t>Indicador:</w:t>
            </w:r>
            <w:r w:rsidRPr="00560B40">
              <w:rPr>
                <w:rFonts w:ascii="Verdana" w:hAnsi="Verdana"/>
                <w:sz w:val="20"/>
              </w:rPr>
              <w:t xml:space="preserve"> 0,0 / </w:t>
            </w:r>
            <w:r>
              <w:rPr>
                <w:rFonts w:ascii="Verdana" w:hAnsi="Verdana"/>
                <w:sz w:val="20"/>
              </w:rPr>
              <w:t>2.647,2</w:t>
            </w:r>
            <w:r w:rsidRPr="00560B40">
              <w:rPr>
                <w:rFonts w:ascii="Verdana" w:hAnsi="Verdana"/>
                <w:sz w:val="20"/>
              </w:rPr>
              <w:t xml:space="preserve"> = 0,00%.</w:t>
            </w:r>
          </w:p>
          <w:p w:rsidR="00FC33F3" w:rsidRPr="00560B40" w:rsidRDefault="00FC33F3" w:rsidP="007337BD">
            <w:pPr>
              <w:jc w:val="both"/>
              <w:rPr>
                <w:rFonts w:ascii="Verdana" w:hAnsi="Verdana"/>
                <w:sz w:val="20"/>
              </w:rPr>
            </w:pPr>
          </w:p>
          <w:p w:rsidR="00FC33F3" w:rsidRPr="00560B40" w:rsidRDefault="00FC33F3" w:rsidP="007337BD">
            <w:pPr>
              <w:jc w:val="both"/>
            </w:pPr>
            <w:r w:rsidRPr="00560B40">
              <w:rPr>
                <w:rFonts w:ascii="Verdana" w:hAnsi="Verdana"/>
                <w:sz w:val="20"/>
              </w:rPr>
              <w:t>No hubo ejecución en el mes de enero y no se tenía proyectado ningún gasto en el mes de enero.</w:t>
            </w:r>
          </w:p>
        </w:tc>
        <w:tc>
          <w:tcPr>
            <w:tcW w:w="6640" w:type="dxa"/>
            <w:vAlign w:val="center"/>
          </w:tcPr>
          <w:p w:rsidR="00FC33F3" w:rsidRPr="00560B40" w:rsidRDefault="00FC33F3" w:rsidP="007337BD">
            <w:pPr>
              <w:jc w:val="both"/>
              <w:rPr>
                <w:rFonts w:ascii="Verdana" w:hAnsi="Verdana"/>
                <w:sz w:val="20"/>
              </w:rPr>
            </w:pPr>
            <w:r w:rsidRPr="00560B40">
              <w:rPr>
                <w:rFonts w:ascii="Verdana" w:hAnsi="Verdana"/>
                <w:b/>
                <w:sz w:val="20"/>
              </w:rPr>
              <w:t>Indicador:</w:t>
            </w:r>
            <w:r w:rsidRPr="00560B40">
              <w:rPr>
                <w:rFonts w:ascii="Verdana" w:hAnsi="Verdana"/>
                <w:sz w:val="20"/>
              </w:rPr>
              <w:t xml:space="preserve"> Ejecución Obligaciones / Apropiación Vigente.</w:t>
            </w:r>
          </w:p>
          <w:p w:rsidR="00FC33F3" w:rsidRPr="00560B40" w:rsidRDefault="00FC33F3" w:rsidP="007337BD">
            <w:pPr>
              <w:jc w:val="both"/>
              <w:rPr>
                <w:rFonts w:ascii="Verdana" w:hAnsi="Verdana"/>
                <w:sz w:val="20"/>
              </w:rPr>
            </w:pPr>
            <w:r w:rsidRPr="00560B40">
              <w:rPr>
                <w:rFonts w:ascii="Verdana" w:hAnsi="Verdana"/>
                <w:b/>
                <w:sz w:val="20"/>
              </w:rPr>
              <w:t>Indicador:</w:t>
            </w:r>
            <w:r w:rsidRPr="00560B40">
              <w:rPr>
                <w:rFonts w:ascii="Verdana" w:hAnsi="Verdana"/>
                <w:sz w:val="20"/>
              </w:rPr>
              <w:t xml:space="preserve"> 0,0 / </w:t>
            </w:r>
            <w:r>
              <w:rPr>
                <w:rFonts w:ascii="Verdana" w:hAnsi="Verdana"/>
                <w:sz w:val="20"/>
              </w:rPr>
              <w:t>2.647,2</w:t>
            </w:r>
            <w:r w:rsidRPr="00560B40">
              <w:rPr>
                <w:rFonts w:ascii="Verdana" w:hAnsi="Verdana"/>
                <w:sz w:val="20"/>
              </w:rPr>
              <w:t xml:space="preserve"> = 0,00%.</w:t>
            </w:r>
          </w:p>
          <w:p w:rsidR="00FC33F3" w:rsidRPr="00560B40" w:rsidRDefault="00FC33F3" w:rsidP="007337BD">
            <w:pPr>
              <w:jc w:val="both"/>
              <w:rPr>
                <w:rFonts w:ascii="Verdana" w:hAnsi="Verdana"/>
                <w:sz w:val="20"/>
              </w:rPr>
            </w:pPr>
          </w:p>
          <w:p w:rsidR="00FC33F3" w:rsidRPr="00560B40" w:rsidRDefault="00FC33F3" w:rsidP="007337BD">
            <w:pPr>
              <w:jc w:val="both"/>
            </w:pPr>
            <w:r w:rsidRPr="00560B40">
              <w:rPr>
                <w:rFonts w:ascii="Verdana" w:hAnsi="Verdana"/>
                <w:sz w:val="20"/>
              </w:rPr>
              <w:t>No hubo ejecución en el mes de enero y no se tenía proyectado ningún gasto en el mes de enero.</w:t>
            </w:r>
          </w:p>
        </w:tc>
      </w:tr>
      <w:tr w:rsidR="00FC33F3" w:rsidRPr="00AB640F" w:rsidTr="007337BD">
        <w:tc>
          <w:tcPr>
            <w:tcW w:w="6638" w:type="dxa"/>
            <w:vAlign w:val="center"/>
          </w:tcPr>
          <w:p w:rsidR="00FC33F3" w:rsidRPr="00560B40" w:rsidRDefault="00FC33F3" w:rsidP="007337BD">
            <w:pPr>
              <w:jc w:val="both"/>
              <w:rPr>
                <w:rFonts w:ascii="Verdana" w:hAnsi="Verdana"/>
                <w:sz w:val="20"/>
              </w:rPr>
            </w:pPr>
          </w:p>
        </w:tc>
        <w:tc>
          <w:tcPr>
            <w:tcW w:w="6640" w:type="dxa"/>
            <w:vAlign w:val="center"/>
          </w:tcPr>
          <w:p w:rsidR="00FC33F3" w:rsidRPr="00560B40" w:rsidRDefault="00FC33F3" w:rsidP="007337BD">
            <w:pPr>
              <w:jc w:val="both"/>
              <w:rPr>
                <w:rFonts w:ascii="Verdana" w:hAnsi="Verdana"/>
                <w:sz w:val="20"/>
              </w:rPr>
            </w:pPr>
          </w:p>
        </w:tc>
      </w:tr>
    </w:tbl>
    <w:p w:rsidR="00FC33F3" w:rsidRPr="00AB640F" w:rsidRDefault="00FC33F3" w:rsidP="00B9595B">
      <w:pPr>
        <w:rPr>
          <w:rFonts w:ascii="Verdana" w:hAnsi="Verdana"/>
          <w:b/>
          <w:sz w:val="20"/>
          <w:szCs w:val="20"/>
          <w:highlight w:val="yellow"/>
        </w:rPr>
      </w:pPr>
    </w:p>
    <w:p w:rsidR="004509FE" w:rsidRDefault="004509FE" w:rsidP="00560B40">
      <w:pPr>
        <w:jc w:val="both"/>
        <w:rPr>
          <w:rFonts w:ascii="Verdana" w:hAnsi="Verdana"/>
          <w:b/>
          <w:sz w:val="22"/>
        </w:rPr>
      </w:pPr>
    </w:p>
    <w:p w:rsidR="00283B0B" w:rsidRPr="00FC33F3" w:rsidRDefault="00283B0B" w:rsidP="00560B40">
      <w:pPr>
        <w:jc w:val="both"/>
        <w:rPr>
          <w:rFonts w:ascii="Verdana" w:hAnsi="Verdana"/>
          <w:b/>
          <w:sz w:val="22"/>
        </w:rPr>
      </w:pPr>
      <w:r w:rsidRPr="00FC33F3">
        <w:rPr>
          <w:rFonts w:ascii="Verdana" w:hAnsi="Verdana"/>
          <w:b/>
          <w:sz w:val="22"/>
        </w:rPr>
        <w:t>Pro</w:t>
      </w:r>
      <w:r w:rsidR="00590D81" w:rsidRPr="00FC33F3">
        <w:rPr>
          <w:rFonts w:ascii="Verdana" w:hAnsi="Verdana"/>
          <w:b/>
          <w:sz w:val="22"/>
        </w:rPr>
        <w:t>yecto de inversión C-0208-1000-9</w:t>
      </w:r>
      <w:r w:rsidRPr="00FC33F3">
        <w:rPr>
          <w:rFonts w:ascii="Verdana" w:hAnsi="Verdana"/>
          <w:b/>
          <w:sz w:val="22"/>
        </w:rPr>
        <w:t xml:space="preserve">: </w:t>
      </w:r>
      <w:r w:rsidR="00590D81" w:rsidRPr="00FC33F3">
        <w:rPr>
          <w:rFonts w:ascii="Verdana" w:hAnsi="Verdana"/>
          <w:b/>
          <w:sz w:val="22"/>
        </w:rPr>
        <w:t>Administración, Ejecución y Seguimiento de Recursos de Cooperación Internacional a Nivel Nacional</w:t>
      </w:r>
    </w:p>
    <w:tbl>
      <w:tblPr>
        <w:tblStyle w:val="Tablaconcuadrcula"/>
        <w:tblW w:w="0" w:type="auto"/>
        <w:tblLook w:val="04A0" w:firstRow="1" w:lastRow="0" w:firstColumn="1" w:lastColumn="0" w:noHBand="0" w:noVBand="1"/>
      </w:tblPr>
      <w:tblGrid>
        <w:gridCol w:w="6638"/>
        <w:gridCol w:w="6640"/>
      </w:tblGrid>
      <w:tr w:rsidR="00283B0B" w:rsidRPr="00AB640F" w:rsidTr="008F217D">
        <w:tc>
          <w:tcPr>
            <w:tcW w:w="6638" w:type="dxa"/>
          </w:tcPr>
          <w:p w:rsidR="00283B0B" w:rsidRPr="00590D81" w:rsidRDefault="00283B0B" w:rsidP="008F217D">
            <w:pPr>
              <w:jc w:val="center"/>
              <w:rPr>
                <w:rFonts w:ascii="Verdana" w:hAnsi="Verdana"/>
                <w:b/>
              </w:rPr>
            </w:pPr>
            <w:r w:rsidRPr="00590D81">
              <w:rPr>
                <w:rFonts w:ascii="Verdana" w:hAnsi="Verdana"/>
                <w:b/>
              </w:rPr>
              <w:t>Compromisos</w:t>
            </w:r>
          </w:p>
        </w:tc>
        <w:tc>
          <w:tcPr>
            <w:tcW w:w="6640" w:type="dxa"/>
          </w:tcPr>
          <w:p w:rsidR="00283B0B" w:rsidRPr="00590D81" w:rsidRDefault="00283B0B" w:rsidP="008F217D">
            <w:pPr>
              <w:jc w:val="center"/>
              <w:rPr>
                <w:rFonts w:ascii="Verdana" w:hAnsi="Verdana"/>
                <w:b/>
              </w:rPr>
            </w:pPr>
            <w:r w:rsidRPr="00590D81">
              <w:rPr>
                <w:rFonts w:ascii="Verdana" w:hAnsi="Verdana"/>
                <w:b/>
              </w:rPr>
              <w:t>Obligaciones</w:t>
            </w:r>
          </w:p>
        </w:tc>
      </w:tr>
      <w:tr w:rsidR="00283B0B" w:rsidRPr="00AB640F" w:rsidTr="008F217D">
        <w:tc>
          <w:tcPr>
            <w:tcW w:w="6638" w:type="dxa"/>
            <w:vAlign w:val="center"/>
          </w:tcPr>
          <w:p w:rsidR="00283B0B" w:rsidRPr="00590D81" w:rsidRDefault="00283B0B" w:rsidP="008F217D">
            <w:pPr>
              <w:jc w:val="both"/>
              <w:rPr>
                <w:rFonts w:ascii="Verdana" w:hAnsi="Verdana"/>
                <w:sz w:val="20"/>
              </w:rPr>
            </w:pPr>
            <w:r w:rsidRPr="00590D81">
              <w:rPr>
                <w:rFonts w:ascii="Verdana" w:hAnsi="Verdana"/>
                <w:b/>
                <w:sz w:val="20"/>
              </w:rPr>
              <w:t>Indicador:</w:t>
            </w:r>
            <w:r w:rsidRPr="00590D81">
              <w:rPr>
                <w:rFonts w:ascii="Verdana" w:hAnsi="Verdana"/>
                <w:sz w:val="20"/>
              </w:rPr>
              <w:t xml:space="preserve"> Ejecución Compromisos / Apropiación Vigente.</w:t>
            </w:r>
          </w:p>
          <w:p w:rsidR="00283B0B" w:rsidRPr="00590D81" w:rsidRDefault="00283B0B" w:rsidP="008F217D">
            <w:pPr>
              <w:jc w:val="both"/>
              <w:rPr>
                <w:rFonts w:ascii="Verdana" w:hAnsi="Verdana"/>
                <w:sz w:val="20"/>
              </w:rPr>
            </w:pPr>
            <w:r w:rsidRPr="00590D81">
              <w:rPr>
                <w:rFonts w:ascii="Verdana" w:hAnsi="Verdana"/>
                <w:b/>
                <w:sz w:val="20"/>
              </w:rPr>
              <w:t>Indicador:</w:t>
            </w:r>
            <w:r w:rsidRPr="00590D81">
              <w:rPr>
                <w:rFonts w:ascii="Verdana" w:hAnsi="Verdana"/>
                <w:sz w:val="20"/>
              </w:rPr>
              <w:t xml:space="preserve"> </w:t>
            </w:r>
            <w:r w:rsidR="00590D81">
              <w:rPr>
                <w:rFonts w:ascii="Verdana" w:hAnsi="Verdana"/>
                <w:sz w:val="20"/>
              </w:rPr>
              <w:t xml:space="preserve">832,8 </w:t>
            </w:r>
            <w:r w:rsidRPr="00590D81">
              <w:rPr>
                <w:rFonts w:ascii="Verdana" w:hAnsi="Verdana"/>
                <w:sz w:val="20"/>
              </w:rPr>
              <w:t xml:space="preserve">/ </w:t>
            </w:r>
            <w:r w:rsidR="00590D81">
              <w:rPr>
                <w:rFonts w:ascii="Verdana" w:hAnsi="Verdana"/>
                <w:sz w:val="20"/>
              </w:rPr>
              <w:t>60.891,0 = 1,37</w:t>
            </w:r>
            <w:r w:rsidRPr="00590D81">
              <w:rPr>
                <w:rFonts w:ascii="Verdana" w:hAnsi="Verdana"/>
                <w:sz w:val="20"/>
              </w:rPr>
              <w:t>%.</w:t>
            </w:r>
          </w:p>
          <w:p w:rsidR="00283B0B" w:rsidRPr="00AB640F" w:rsidRDefault="00283B0B" w:rsidP="008F217D">
            <w:pPr>
              <w:jc w:val="both"/>
              <w:rPr>
                <w:rFonts w:ascii="Verdana" w:hAnsi="Verdana"/>
                <w:sz w:val="20"/>
                <w:highlight w:val="yellow"/>
              </w:rPr>
            </w:pPr>
          </w:p>
          <w:p w:rsidR="000670E3" w:rsidRDefault="00590D81" w:rsidP="000670E3">
            <w:pPr>
              <w:jc w:val="both"/>
              <w:rPr>
                <w:rFonts w:ascii="Verdana" w:hAnsi="Verdana"/>
                <w:sz w:val="20"/>
                <w:szCs w:val="20"/>
              </w:rPr>
            </w:pPr>
            <w:r w:rsidRPr="0016603E">
              <w:rPr>
                <w:rFonts w:ascii="Verdana" w:eastAsia="Times New Roman" w:hAnsi="Verdana" w:cs="Times New Roman"/>
                <w:sz w:val="20"/>
                <w:szCs w:val="20"/>
              </w:rPr>
              <w:lastRenderedPageBreak/>
              <w:t xml:space="preserve">Se ejecutaron recursos por valor de </w:t>
            </w:r>
            <w:r>
              <w:rPr>
                <w:rFonts w:ascii="Verdana" w:eastAsia="Times New Roman" w:hAnsi="Verdana" w:cs="Times New Roman"/>
                <w:sz w:val="20"/>
                <w:szCs w:val="20"/>
              </w:rPr>
              <w:t>832,8</w:t>
            </w:r>
            <w:r w:rsidRPr="0016603E">
              <w:rPr>
                <w:rFonts w:ascii="Verdana" w:eastAsia="Times New Roman" w:hAnsi="Verdana" w:cs="Times New Roman"/>
                <w:sz w:val="20"/>
                <w:szCs w:val="20"/>
              </w:rPr>
              <w:t xml:space="preserve"> millones equivalentes al </w:t>
            </w:r>
            <w:r>
              <w:rPr>
                <w:rFonts w:ascii="Verdana" w:eastAsia="Times New Roman" w:hAnsi="Verdana" w:cs="Times New Roman"/>
                <w:sz w:val="20"/>
                <w:szCs w:val="20"/>
              </w:rPr>
              <w:t>1,37</w:t>
            </w:r>
            <w:r w:rsidRPr="0016603E">
              <w:rPr>
                <w:rFonts w:ascii="Verdana" w:eastAsia="Times New Roman" w:hAnsi="Verdana" w:cs="Times New Roman"/>
                <w:sz w:val="20"/>
                <w:szCs w:val="20"/>
              </w:rPr>
              <w:t xml:space="preserve">% de la apropiación, frente a una meta del </w:t>
            </w:r>
            <w:r w:rsidR="000670E3">
              <w:rPr>
                <w:rFonts w:ascii="Verdana" w:eastAsia="Times New Roman" w:hAnsi="Verdana" w:cs="Times New Roman"/>
                <w:sz w:val="20"/>
                <w:szCs w:val="20"/>
              </w:rPr>
              <w:t>1,73</w:t>
            </w:r>
            <w:r w:rsidRPr="0016603E">
              <w:rPr>
                <w:rFonts w:ascii="Verdana" w:eastAsia="Times New Roman" w:hAnsi="Verdana" w:cs="Times New Roman"/>
                <w:sz w:val="20"/>
                <w:szCs w:val="20"/>
              </w:rPr>
              <w:t>%</w:t>
            </w:r>
            <w:r w:rsidR="000670E3">
              <w:rPr>
                <w:rFonts w:ascii="Verdana" w:eastAsia="Times New Roman" w:hAnsi="Verdana" w:cs="Times New Roman"/>
                <w:sz w:val="20"/>
                <w:szCs w:val="20"/>
              </w:rPr>
              <w:t>,</w:t>
            </w:r>
            <w:r w:rsidR="000670E3" w:rsidRPr="00F86597">
              <w:rPr>
                <w:rFonts w:ascii="Verdana" w:hAnsi="Verdana"/>
                <w:sz w:val="20"/>
                <w:szCs w:val="20"/>
              </w:rPr>
              <w:t xml:space="preserve"> </w:t>
            </w:r>
            <w:r w:rsidR="000670E3">
              <w:rPr>
                <w:rFonts w:ascii="Verdana" w:hAnsi="Verdana"/>
                <w:sz w:val="20"/>
                <w:szCs w:val="20"/>
              </w:rPr>
              <w:t>presentando</w:t>
            </w:r>
            <w:r w:rsidR="000670E3" w:rsidRPr="00F86597">
              <w:rPr>
                <w:rFonts w:ascii="Verdana" w:hAnsi="Verdana"/>
                <w:sz w:val="20"/>
                <w:szCs w:val="20"/>
              </w:rPr>
              <w:t xml:space="preserve"> un déficit de</w:t>
            </w:r>
            <w:r w:rsidR="000670E3">
              <w:rPr>
                <w:rFonts w:ascii="Verdana" w:hAnsi="Verdana"/>
                <w:sz w:val="20"/>
                <w:szCs w:val="20"/>
              </w:rPr>
              <w:t xml:space="preserve"> 220,8 </w:t>
            </w:r>
            <w:r w:rsidR="000670E3" w:rsidRPr="00F86597">
              <w:rPr>
                <w:rFonts w:ascii="Verdana" w:hAnsi="Verdana"/>
                <w:sz w:val="20"/>
                <w:szCs w:val="20"/>
              </w:rPr>
              <w:t>millones</w:t>
            </w:r>
            <w:r w:rsidR="000670E3">
              <w:rPr>
                <w:rFonts w:ascii="Verdana" w:hAnsi="Verdana"/>
                <w:sz w:val="20"/>
                <w:szCs w:val="20"/>
              </w:rPr>
              <w:t xml:space="preserve"> </w:t>
            </w:r>
            <w:r w:rsidR="000670E3" w:rsidRPr="000E3954">
              <w:rPr>
                <w:rFonts w:ascii="Verdana" w:hAnsi="Verdana"/>
                <w:sz w:val="20"/>
                <w:szCs w:val="20"/>
              </w:rPr>
              <w:t xml:space="preserve">debido a </w:t>
            </w:r>
            <w:r w:rsidR="000670E3">
              <w:rPr>
                <w:rFonts w:ascii="Verdana" w:hAnsi="Verdana"/>
                <w:sz w:val="20"/>
                <w:szCs w:val="20"/>
              </w:rPr>
              <w:t xml:space="preserve">que no se tramitaron todos los contratos que se tenían contemplados para la adquisición de combustible en el mes de enero de 2019, para el </w:t>
            </w:r>
            <w:r w:rsidR="000670E3" w:rsidRPr="00EA3C52">
              <w:rPr>
                <w:rFonts w:ascii="Verdana" w:hAnsi="Verdana"/>
                <w:sz w:val="20"/>
                <w:szCs w:val="20"/>
              </w:rPr>
              <w:t>proyecto de desminado terrestre en el marco del convenio de subvención firmado c</w:t>
            </w:r>
            <w:r w:rsidR="000670E3">
              <w:rPr>
                <w:rFonts w:ascii="Verdana" w:hAnsi="Verdana"/>
                <w:sz w:val="20"/>
                <w:szCs w:val="20"/>
              </w:rPr>
              <w:t xml:space="preserve">on la fundación Howard </w:t>
            </w:r>
            <w:proofErr w:type="spellStart"/>
            <w:r w:rsidR="000670E3">
              <w:rPr>
                <w:rFonts w:ascii="Verdana" w:hAnsi="Verdana"/>
                <w:sz w:val="20"/>
                <w:szCs w:val="20"/>
              </w:rPr>
              <w:t>Buffett</w:t>
            </w:r>
            <w:proofErr w:type="spellEnd"/>
            <w:r w:rsidR="000670E3">
              <w:rPr>
                <w:rFonts w:ascii="Verdana" w:hAnsi="Verdana"/>
                <w:sz w:val="20"/>
                <w:szCs w:val="20"/>
              </w:rPr>
              <w:t>.</w:t>
            </w:r>
          </w:p>
          <w:p w:rsidR="00590D81" w:rsidRPr="000670E3" w:rsidRDefault="00590D81" w:rsidP="008F217D">
            <w:pPr>
              <w:jc w:val="both"/>
              <w:rPr>
                <w:rFonts w:ascii="Verdana" w:hAnsi="Verdana"/>
                <w:sz w:val="20"/>
              </w:rPr>
            </w:pPr>
          </w:p>
          <w:p w:rsidR="000670E3" w:rsidRPr="000670E3" w:rsidRDefault="00283B0B" w:rsidP="008F217D">
            <w:pPr>
              <w:jc w:val="both"/>
              <w:rPr>
                <w:rFonts w:ascii="Verdana" w:hAnsi="Verdana"/>
                <w:sz w:val="20"/>
              </w:rPr>
            </w:pPr>
            <w:r w:rsidRPr="000670E3">
              <w:rPr>
                <w:rFonts w:ascii="Verdana" w:hAnsi="Verdana"/>
                <w:sz w:val="20"/>
              </w:rPr>
              <w:t>Los compromisos estuvieron distribuidos así:</w:t>
            </w:r>
          </w:p>
          <w:p w:rsidR="000670E3" w:rsidRPr="00B176DD" w:rsidRDefault="000670E3" w:rsidP="000670E3">
            <w:pPr>
              <w:jc w:val="both"/>
              <w:rPr>
                <w:rFonts w:ascii="Verdana" w:hAnsi="Verdana"/>
                <w:sz w:val="20"/>
                <w:szCs w:val="20"/>
              </w:rPr>
            </w:pPr>
          </w:p>
          <w:p w:rsidR="000670E3" w:rsidRDefault="000670E3" w:rsidP="000670E3">
            <w:pPr>
              <w:jc w:val="both"/>
              <w:rPr>
                <w:rFonts w:ascii="Verdana" w:hAnsi="Verdana"/>
                <w:sz w:val="20"/>
                <w:szCs w:val="20"/>
              </w:rPr>
            </w:pPr>
            <w:r w:rsidRPr="00B176DD">
              <w:rPr>
                <w:rFonts w:ascii="Verdana" w:hAnsi="Verdana"/>
                <w:sz w:val="20"/>
                <w:szCs w:val="20"/>
              </w:rPr>
              <w:t>a) 168,4 millones del proyecto “Estrategia regional de emprendimiento” financiado con recurs</w:t>
            </w:r>
            <w:r>
              <w:rPr>
                <w:rFonts w:ascii="Verdana" w:hAnsi="Verdana"/>
                <w:sz w:val="20"/>
                <w:szCs w:val="20"/>
              </w:rPr>
              <w:t>os donados por la Unión Europea, para el pago de los servicios a profesionales encargados de la gestión del proyecto.</w:t>
            </w:r>
          </w:p>
          <w:p w:rsidR="000670E3" w:rsidRPr="00B176DD" w:rsidRDefault="000670E3" w:rsidP="000670E3">
            <w:pPr>
              <w:jc w:val="both"/>
              <w:rPr>
                <w:rFonts w:ascii="Verdana" w:hAnsi="Verdana"/>
                <w:sz w:val="20"/>
                <w:szCs w:val="20"/>
              </w:rPr>
            </w:pPr>
          </w:p>
          <w:p w:rsidR="00283B0B" w:rsidRPr="000670E3" w:rsidRDefault="000670E3" w:rsidP="004F169C">
            <w:pPr>
              <w:jc w:val="both"/>
              <w:rPr>
                <w:rFonts w:ascii="Verdana" w:hAnsi="Verdana"/>
                <w:sz w:val="20"/>
                <w:szCs w:val="20"/>
              </w:rPr>
            </w:pPr>
            <w:r w:rsidRPr="00EA3C52">
              <w:rPr>
                <w:rFonts w:ascii="Verdana" w:hAnsi="Verdana"/>
                <w:sz w:val="20"/>
                <w:szCs w:val="20"/>
              </w:rPr>
              <w:t xml:space="preserve">b) </w:t>
            </w:r>
            <w:r>
              <w:rPr>
                <w:rFonts w:ascii="Verdana" w:hAnsi="Verdana"/>
                <w:sz w:val="20"/>
                <w:szCs w:val="20"/>
              </w:rPr>
              <w:t>664,4</w:t>
            </w:r>
            <w:r w:rsidRPr="00EA3C52">
              <w:rPr>
                <w:rFonts w:ascii="Verdana" w:hAnsi="Verdana"/>
                <w:sz w:val="20"/>
                <w:szCs w:val="20"/>
              </w:rPr>
              <w:t xml:space="preserve"> millones por cuenta del proyecto de desminado terrestre en el marco del convenio de subvención firmado c</w:t>
            </w:r>
            <w:r>
              <w:rPr>
                <w:rFonts w:ascii="Verdana" w:hAnsi="Verdana"/>
                <w:sz w:val="20"/>
                <w:szCs w:val="20"/>
              </w:rPr>
              <w:t xml:space="preserve">on la fundación Howard </w:t>
            </w:r>
            <w:proofErr w:type="spellStart"/>
            <w:r>
              <w:rPr>
                <w:rFonts w:ascii="Verdana" w:hAnsi="Verdana"/>
                <w:sz w:val="20"/>
                <w:szCs w:val="20"/>
              </w:rPr>
              <w:t>Buffett</w:t>
            </w:r>
            <w:proofErr w:type="spellEnd"/>
            <w:r>
              <w:rPr>
                <w:rFonts w:ascii="Verdana" w:hAnsi="Verdana"/>
                <w:sz w:val="20"/>
                <w:szCs w:val="20"/>
              </w:rPr>
              <w:t>, para la adquisición de combustible c</w:t>
            </w:r>
            <w:r w:rsidRPr="000670E3">
              <w:rPr>
                <w:rFonts w:ascii="Verdana" w:hAnsi="Verdana"/>
                <w:sz w:val="20"/>
                <w:szCs w:val="20"/>
              </w:rPr>
              <w:t xml:space="preserve">on destino a la brigada de ingenieros de desminado humanitario </w:t>
            </w:r>
            <w:r>
              <w:rPr>
                <w:rFonts w:ascii="Verdana" w:hAnsi="Verdana"/>
                <w:sz w:val="20"/>
                <w:szCs w:val="20"/>
              </w:rPr>
              <w:t>del E</w:t>
            </w:r>
            <w:r w:rsidRPr="000670E3">
              <w:rPr>
                <w:rFonts w:ascii="Verdana" w:hAnsi="Verdana"/>
                <w:sz w:val="20"/>
                <w:szCs w:val="20"/>
              </w:rPr>
              <w:t>jército</w:t>
            </w:r>
            <w:r>
              <w:rPr>
                <w:rFonts w:ascii="Verdana" w:hAnsi="Verdana"/>
                <w:sz w:val="20"/>
                <w:szCs w:val="20"/>
              </w:rPr>
              <w:t xml:space="preserve"> N</w:t>
            </w:r>
            <w:r w:rsidRPr="000670E3">
              <w:rPr>
                <w:rFonts w:ascii="Verdana" w:hAnsi="Verdana"/>
                <w:sz w:val="20"/>
                <w:szCs w:val="20"/>
              </w:rPr>
              <w:t xml:space="preserve">acional </w:t>
            </w:r>
            <w:r w:rsidR="004F169C">
              <w:rPr>
                <w:rFonts w:ascii="Verdana" w:hAnsi="Verdana"/>
                <w:sz w:val="20"/>
                <w:szCs w:val="20"/>
              </w:rPr>
              <w:t>en varios municipios del país.</w:t>
            </w:r>
          </w:p>
        </w:tc>
        <w:tc>
          <w:tcPr>
            <w:tcW w:w="6640" w:type="dxa"/>
            <w:vAlign w:val="center"/>
          </w:tcPr>
          <w:p w:rsidR="00283B0B" w:rsidRPr="00277378" w:rsidRDefault="00283B0B" w:rsidP="008F217D">
            <w:pPr>
              <w:jc w:val="both"/>
              <w:rPr>
                <w:rFonts w:ascii="Verdana" w:hAnsi="Verdana"/>
                <w:sz w:val="20"/>
              </w:rPr>
            </w:pPr>
            <w:r w:rsidRPr="00277378">
              <w:rPr>
                <w:rFonts w:ascii="Verdana" w:hAnsi="Verdana"/>
                <w:b/>
                <w:sz w:val="20"/>
              </w:rPr>
              <w:lastRenderedPageBreak/>
              <w:t>Indicador:</w:t>
            </w:r>
            <w:r w:rsidRPr="00277378">
              <w:rPr>
                <w:rFonts w:ascii="Verdana" w:hAnsi="Verdana"/>
                <w:sz w:val="20"/>
              </w:rPr>
              <w:t xml:space="preserve"> Ejecución Obligaciones / Apropiación Vigente.</w:t>
            </w:r>
          </w:p>
          <w:p w:rsidR="00283B0B" w:rsidRPr="00277378" w:rsidRDefault="00283B0B" w:rsidP="008F217D">
            <w:pPr>
              <w:jc w:val="both"/>
              <w:rPr>
                <w:rFonts w:ascii="Verdana" w:hAnsi="Verdana"/>
                <w:sz w:val="20"/>
              </w:rPr>
            </w:pPr>
            <w:r w:rsidRPr="00277378">
              <w:rPr>
                <w:rFonts w:ascii="Verdana" w:hAnsi="Verdana"/>
                <w:b/>
                <w:sz w:val="20"/>
              </w:rPr>
              <w:t>Indicador:</w:t>
            </w:r>
            <w:r w:rsidRPr="00277378">
              <w:rPr>
                <w:rFonts w:ascii="Verdana" w:hAnsi="Verdana"/>
                <w:sz w:val="20"/>
              </w:rPr>
              <w:t xml:space="preserve"> </w:t>
            </w:r>
            <w:r w:rsidR="00277378">
              <w:rPr>
                <w:rFonts w:ascii="Verdana" w:hAnsi="Verdana"/>
                <w:sz w:val="20"/>
              </w:rPr>
              <w:t xml:space="preserve">22,9 </w:t>
            </w:r>
            <w:r w:rsidRPr="00277378">
              <w:rPr>
                <w:rFonts w:ascii="Verdana" w:hAnsi="Verdana"/>
                <w:sz w:val="20"/>
              </w:rPr>
              <w:t>/</w:t>
            </w:r>
            <w:r w:rsidR="00277378">
              <w:rPr>
                <w:rFonts w:ascii="Verdana" w:hAnsi="Verdana"/>
                <w:sz w:val="20"/>
              </w:rPr>
              <w:t xml:space="preserve"> 60.891,0</w:t>
            </w:r>
            <w:r w:rsidRPr="00277378">
              <w:rPr>
                <w:rFonts w:ascii="Verdana" w:hAnsi="Verdana"/>
                <w:sz w:val="20"/>
              </w:rPr>
              <w:t xml:space="preserve"> </w:t>
            </w:r>
            <w:r w:rsidR="00277378">
              <w:rPr>
                <w:rFonts w:ascii="Verdana" w:hAnsi="Verdana"/>
                <w:sz w:val="20"/>
              </w:rPr>
              <w:t>= 0,04</w:t>
            </w:r>
            <w:r w:rsidRPr="00277378">
              <w:rPr>
                <w:rFonts w:ascii="Verdana" w:hAnsi="Verdana"/>
                <w:sz w:val="20"/>
              </w:rPr>
              <w:t>%.</w:t>
            </w:r>
          </w:p>
          <w:p w:rsidR="00283B0B" w:rsidRPr="00AB640F" w:rsidRDefault="00283B0B" w:rsidP="008F217D">
            <w:pPr>
              <w:jc w:val="both"/>
              <w:rPr>
                <w:rFonts w:ascii="Verdana" w:hAnsi="Verdana"/>
                <w:sz w:val="20"/>
                <w:highlight w:val="yellow"/>
              </w:rPr>
            </w:pPr>
          </w:p>
          <w:p w:rsidR="00283B0B" w:rsidRDefault="00277378" w:rsidP="008F217D">
            <w:pPr>
              <w:jc w:val="both"/>
              <w:rPr>
                <w:rFonts w:ascii="Verdana" w:hAnsi="Verdana"/>
                <w:sz w:val="20"/>
                <w:szCs w:val="20"/>
              </w:rPr>
            </w:pPr>
            <w:r w:rsidRPr="00D92DE8">
              <w:rPr>
                <w:rFonts w:ascii="Verdana" w:hAnsi="Verdana"/>
                <w:iCs/>
                <w:sz w:val="20"/>
                <w:szCs w:val="20"/>
              </w:rPr>
              <w:lastRenderedPageBreak/>
              <w:t xml:space="preserve">La ejecución alcanzó el </w:t>
            </w:r>
            <w:r>
              <w:rPr>
                <w:rFonts w:ascii="Verdana" w:hAnsi="Verdana"/>
                <w:iCs/>
                <w:sz w:val="20"/>
                <w:szCs w:val="20"/>
              </w:rPr>
              <w:t>0,04</w:t>
            </w:r>
            <w:r w:rsidRPr="00D92DE8">
              <w:rPr>
                <w:rFonts w:ascii="Verdana" w:hAnsi="Verdana"/>
                <w:iCs/>
                <w:sz w:val="20"/>
                <w:szCs w:val="20"/>
              </w:rPr>
              <w:t>% de la apropiación</w:t>
            </w:r>
            <w:r>
              <w:rPr>
                <w:rFonts w:ascii="Verdana" w:hAnsi="Verdana"/>
                <w:iCs/>
                <w:sz w:val="20"/>
                <w:szCs w:val="20"/>
              </w:rPr>
              <w:t>,</w:t>
            </w:r>
            <w:r w:rsidRPr="00D92DE8">
              <w:rPr>
                <w:rFonts w:ascii="Verdana" w:hAnsi="Verdana"/>
                <w:iCs/>
                <w:sz w:val="20"/>
                <w:szCs w:val="20"/>
              </w:rPr>
              <w:t xml:space="preserve"> </w:t>
            </w:r>
            <w:r>
              <w:rPr>
                <w:rFonts w:ascii="Verdana" w:hAnsi="Verdana"/>
                <w:iCs/>
                <w:sz w:val="20"/>
                <w:szCs w:val="20"/>
              </w:rPr>
              <w:t xml:space="preserve">equivalentes a 22,9 millones, </w:t>
            </w:r>
            <w:r w:rsidRPr="00D92DE8">
              <w:rPr>
                <w:rFonts w:ascii="Verdana" w:hAnsi="Verdana"/>
                <w:iCs/>
                <w:sz w:val="20"/>
                <w:szCs w:val="20"/>
              </w:rPr>
              <w:t xml:space="preserve">frente a una meta del </w:t>
            </w:r>
            <w:r>
              <w:rPr>
                <w:rFonts w:ascii="Verdana" w:hAnsi="Verdana"/>
                <w:iCs/>
                <w:sz w:val="20"/>
                <w:szCs w:val="20"/>
              </w:rPr>
              <w:t>1,05%, presentando</w:t>
            </w:r>
            <w:r w:rsidRPr="00D92DE8">
              <w:rPr>
                <w:rFonts w:ascii="Verdana" w:hAnsi="Verdana"/>
                <w:iCs/>
                <w:sz w:val="20"/>
                <w:szCs w:val="20"/>
              </w:rPr>
              <w:t xml:space="preserve"> un </w:t>
            </w:r>
            <w:r>
              <w:rPr>
                <w:rFonts w:ascii="Verdana" w:hAnsi="Verdana"/>
                <w:iCs/>
                <w:sz w:val="20"/>
                <w:szCs w:val="20"/>
              </w:rPr>
              <w:t>déficit de 615,8</w:t>
            </w:r>
            <w:r w:rsidRPr="00D92DE8">
              <w:rPr>
                <w:rFonts w:ascii="Verdana" w:hAnsi="Verdana"/>
                <w:iCs/>
                <w:sz w:val="20"/>
                <w:szCs w:val="20"/>
              </w:rPr>
              <w:t xml:space="preserve"> </w:t>
            </w:r>
            <w:r w:rsidRPr="00277378">
              <w:rPr>
                <w:rFonts w:ascii="Verdana" w:hAnsi="Verdana"/>
                <w:iCs/>
                <w:sz w:val="20"/>
                <w:szCs w:val="20"/>
              </w:rPr>
              <w:t>millones</w:t>
            </w:r>
            <w:r w:rsidRPr="00277378">
              <w:rPr>
                <w:rFonts w:ascii="Verdana" w:hAnsi="Verdana"/>
                <w:sz w:val="20"/>
              </w:rPr>
              <w:t xml:space="preserve"> </w:t>
            </w:r>
            <w:r w:rsidRPr="00277378">
              <w:rPr>
                <w:rFonts w:ascii="Verdana" w:hAnsi="Verdana"/>
                <w:sz w:val="20"/>
                <w:szCs w:val="20"/>
              </w:rPr>
              <w:t xml:space="preserve">debido a que los contratistas encargados de proveer combustible para el proyecto de desminado terrestre en el marco del convenio de subvención firmado con la fundación Howard </w:t>
            </w:r>
            <w:proofErr w:type="spellStart"/>
            <w:r w:rsidRPr="00277378">
              <w:rPr>
                <w:rFonts w:ascii="Verdana" w:hAnsi="Verdana"/>
                <w:sz w:val="20"/>
                <w:szCs w:val="20"/>
              </w:rPr>
              <w:t>Buffett</w:t>
            </w:r>
            <w:proofErr w:type="spellEnd"/>
            <w:r w:rsidRPr="00277378">
              <w:rPr>
                <w:rFonts w:ascii="Verdana" w:hAnsi="Verdana"/>
                <w:sz w:val="20"/>
                <w:szCs w:val="20"/>
              </w:rPr>
              <w:t>, pasan factura mes vencido y en el mes de enero, no alcanz</w:t>
            </w:r>
            <w:r w:rsidR="009628EA">
              <w:rPr>
                <w:rFonts w:ascii="Verdana" w:hAnsi="Verdana"/>
                <w:sz w:val="20"/>
                <w:szCs w:val="20"/>
              </w:rPr>
              <w:t>aron a proveer ningún servicio.</w:t>
            </w:r>
          </w:p>
          <w:p w:rsidR="009628EA" w:rsidRDefault="009628EA" w:rsidP="008F217D">
            <w:pPr>
              <w:jc w:val="both"/>
              <w:rPr>
                <w:rFonts w:ascii="Verdana" w:hAnsi="Verdana"/>
                <w:sz w:val="20"/>
                <w:szCs w:val="20"/>
              </w:rPr>
            </w:pPr>
          </w:p>
          <w:p w:rsidR="009628EA" w:rsidRDefault="009628EA" w:rsidP="008F217D">
            <w:pPr>
              <w:jc w:val="both"/>
              <w:rPr>
                <w:rFonts w:ascii="Verdana" w:hAnsi="Verdana"/>
                <w:sz w:val="20"/>
                <w:szCs w:val="20"/>
              </w:rPr>
            </w:pPr>
          </w:p>
          <w:p w:rsidR="009628EA" w:rsidRDefault="009628EA" w:rsidP="008F217D">
            <w:pPr>
              <w:jc w:val="both"/>
              <w:rPr>
                <w:rFonts w:ascii="Verdana" w:hAnsi="Verdana"/>
                <w:sz w:val="20"/>
                <w:szCs w:val="20"/>
              </w:rPr>
            </w:pPr>
          </w:p>
          <w:p w:rsidR="009628EA" w:rsidRDefault="009628EA" w:rsidP="008F217D">
            <w:pPr>
              <w:jc w:val="both"/>
              <w:rPr>
                <w:rFonts w:ascii="Verdana" w:hAnsi="Verdana"/>
                <w:sz w:val="20"/>
                <w:szCs w:val="20"/>
              </w:rPr>
            </w:pPr>
          </w:p>
          <w:p w:rsidR="009628EA" w:rsidRDefault="009628EA" w:rsidP="008F217D">
            <w:pPr>
              <w:jc w:val="both"/>
              <w:rPr>
                <w:rFonts w:ascii="Verdana" w:hAnsi="Verdana"/>
                <w:sz w:val="20"/>
                <w:szCs w:val="20"/>
              </w:rPr>
            </w:pPr>
          </w:p>
          <w:p w:rsidR="009628EA" w:rsidRDefault="009628EA" w:rsidP="008F217D">
            <w:pPr>
              <w:jc w:val="both"/>
              <w:rPr>
                <w:rFonts w:ascii="Verdana" w:hAnsi="Verdana"/>
                <w:sz w:val="20"/>
                <w:szCs w:val="20"/>
              </w:rPr>
            </w:pPr>
          </w:p>
          <w:p w:rsidR="009628EA" w:rsidRDefault="009628EA" w:rsidP="008F217D">
            <w:pPr>
              <w:jc w:val="both"/>
              <w:rPr>
                <w:rFonts w:ascii="Verdana" w:hAnsi="Verdana"/>
                <w:sz w:val="20"/>
                <w:szCs w:val="20"/>
              </w:rPr>
            </w:pPr>
          </w:p>
          <w:p w:rsidR="009628EA" w:rsidRDefault="009628EA" w:rsidP="008F217D">
            <w:pPr>
              <w:jc w:val="both"/>
              <w:rPr>
                <w:rFonts w:ascii="Verdana" w:hAnsi="Verdana"/>
                <w:sz w:val="20"/>
                <w:szCs w:val="20"/>
              </w:rPr>
            </w:pPr>
          </w:p>
          <w:p w:rsidR="009628EA" w:rsidRDefault="009628EA" w:rsidP="008F217D">
            <w:pPr>
              <w:jc w:val="both"/>
              <w:rPr>
                <w:rFonts w:ascii="Verdana" w:hAnsi="Verdana"/>
                <w:sz w:val="20"/>
                <w:szCs w:val="20"/>
              </w:rPr>
            </w:pPr>
          </w:p>
          <w:p w:rsidR="009628EA" w:rsidRDefault="009628EA" w:rsidP="008F217D">
            <w:pPr>
              <w:jc w:val="both"/>
              <w:rPr>
                <w:rFonts w:ascii="Verdana" w:hAnsi="Verdana"/>
                <w:sz w:val="20"/>
                <w:szCs w:val="20"/>
              </w:rPr>
            </w:pPr>
          </w:p>
          <w:p w:rsidR="009628EA" w:rsidRPr="00AB640F" w:rsidRDefault="009628EA" w:rsidP="008F217D">
            <w:pPr>
              <w:jc w:val="both"/>
              <w:rPr>
                <w:rFonts w:ascii="Verdana" w:hAnsi="Verdana"/>
                <w:sz w:val="20"/>
                <w:highlight w:val="yellow"/>
              </w:rPr>
            </w:pPr>
          </w:p>
          <w:p w:rsidR="00283B0B" w:rsidRPr="00AB640F" w:rsidRDefault="00283B0B" w:rsidP="008F217D">
            <w:pPr>
              <w:jc w:val="both"/>
              <w:rPr>
                <w:highlight w:val="yellow"/>
              </w:rPr>
            </w:pPr>
          </w:p>
        </w:tc>
      </w:tr>
    </w:tbl>
    <w:p w:rsidR="00283B0B" w:rsidRPr="00AB640F" w:rsidRDefault="00283B0B" w:rsidP="00283B0B">
      <w:pPr>
        <w:rPr>
          <w:rFonts w:ascii="Verdana" w:hAnsi="Verdana"/>
          <w:b/>
          <w:highlight w:val="yellow"/>
        </w:rPr>
      </w:pPr>
    </w:p>
    <w:p w:rsidR="004509FE" w:rsidRDefault="004509FE" w:rsidP="00CE0761">
      <w:pPr>
        <w:jc w:val="both"/>
        <w:rPr>
          <w:rFonts w:ascii="Verdana" w:hAnsi="Verdana"/>
          <w:b/>
          <w:sz w:val="22"/>
        </w:rPr>
      </w:pPr>
    </w:p>
    <w:p w:rsidR="00283B0B" w:rsidRPr="00FC33F3" w:rsidRDefault="00283B0B" w:rsidP="00CE0761">
      <w:pPr>
        <w:jc w:val="both"/>
        <w:rPr>
          <w:rFonts w:ascii="Verdana" w:hAnsi="Verdana"/>
          <w:b/>
          <w:sz w:val="22"/>
        </w:rPr>
      </w:pPr>
      <w:r w:rsidRPr="00FC33F3">
        <w:rPr>
          <w:rFonts w:ascii="Verdana" w:hAnsi="Verdana"/>
          <w:b/>
          <w:sz w:val="22"/>
        </w:rPr>
        <w:t xml:space="preserve">Proyecto de inversión </w:t>
      </w:r>
      <w:r w:rsidR="00CE0761" w:rsidRPr="00FC33F3">
        <w:rPr>
          <w:rFonts w:ascii="Verdana" w:hAnsi="Verdana"/>
          <w:b/>
          <w:sz w:val="22"/>
        </w:rPr>
        <w:t>C-0208-1000-10</w:t>
      </w:r>
      <w:r w:rsidRPr="00FC33F3">
        <w:rPr>
          <w:rFonts w:ascii="Verdana" w:hAnsi="Verdana"/>
          <w:b/>
          <w:sz w:val="22"/>
        </w:rPr>
        <w:t xml:space="preserve">: </w:t>
      </w:r>
      <w:r w:rsidR="00CE0761" w:rsidRPr="00FC33F3">
        <w:rPr>
          <w:rFonts w:ascii="Verdana" w:hAnsi="Verdana"/>
          <w:b/>
          <w:sz w:val="22"/>
        </w:rPr>
        <w:t>Fortalecimiento de las Capacidades Tecnológicas de la Información en APC-Colombia, Nacional</w:t>
      </w:r>
    </w:p>
    <w:tbl>
      <w:tblPr>
        <w:tblStyle w:val="Tablaconcuadrcula"/>
        <w:tblW w:w="0" w:type="auto"/>
        <w:tblLook w:val="04A0" w:firstRow="1" w:lastRow="0" w:firstColumn="1" w:lastColumn="0" w:noHBand="0" w:noVBand="1"/>
      </w:tblPr>
      <w:tblGrid>
        <w:gridCol w:w="6638"/>
        <w:gridCol w:w="6640"/>
      </w:tblGrid>
      <w:tr w:rsidR="00283B0B" w:rsidRPr="00CE0761" w:rsidTr="008F217D">
        <w:tc>
          <w:tcPr>
            <w:tcW w:w="6638" w:type="dxa"/>
          </w:tcPr>
          <w:p w:rsidR="00283B0B" w:rsidRPr="00CE0761" w:rsidRDefault="00283B0B" w:rsidP="008F217D">
            <w:pPr>
              <w:jc w:val="center"/>
              <w:rPr>
                <w:rFonts w:ascii="Verdana" w:hAnsi="Verdana"/>
                <w:b/>
              </w:rPr>
            </w:pPr>
            <w:r w:rsidRPr="00CE0761">
              <w:rPr>
                <w:rFonts w:ascii="Verdana" w:hAnsi="Verdana"/>
                <w:b/>
              </w:rPr>
              <w:t>Compromisos</w:t>
            </w:r>
          </w:p>
        </w:tc>
        <w:tc>
          <w:tcPr>
            <w:tcW w:w="6640" w:type="dxa"/>
          </w:tcPr>
          <w:p w:rsidR="00283B0B" w:rsidRPr="00CE0761" w:rsidRDefault="00283B0B" w:rsidP="008F217D">
            <w:pPr>
              <w:jc w:val="center"/>
              <w:rPr>
                <w:rFonts w:ascii="Verdana" w:hAnsi="Verdana"/>
                <w:b/>
              </w:rPr>
            </w:pPr>
            <w:r w:rsidRPr="00CE0761">
              <w:rPr>
                <w:rFonts w:ascii="Verdana" w:hAnsi="Verdana"/>
                <w:b/>
              </w:rPr>
              <w:t>Obligaciones</w:t>
            </w:r>
          </w:p>
        </w:tc>
      </w:tr>
      <w:tr w:rsidR="00283B0B" w:rsidRPr="00CE0761" w:rsidTr="008F217D">
        <w:tc>
          <w:tcPr>
            <w:tcW w:w="6638" w:type="dxa"/>
            <w:vAlign w:val="center"/>
          </w:tcPr>
          <w:p w:rsidR="00283B0B" w:rsidRPr="00CE0761" w:rsidRDefault="00283B0B" w:rsidP="008F217D">
            <w:pPr>
              <w:jc w:val="both"/>
              <w:rPr>
                <w:rFonts w:ascii="Verdana" w:hAnsi="Verdana"/>
                <w:sz w:val="20"/>
              </w:rPr>
            </w:pPr>
            <w:r w:rsidRPr="00CE0761">
              <w:rPr>
                <w:rFonts w:ascii="Verdana" w:hAnsi="Verdana"/>
                <w:b/>
                <w:sz w:val="20"/>
              </w:rPr>
              <w:t>Indicador:</w:t>
            </w:r>
            <w:r w:rsidRPr="00CE0761">
              <w:rPr>
                <w:rFonts w:ascii="Verdana" w:hAnsi="Verdana"/>
                <w:sz w:val="20"/>
              </w:rPr>
              <w:t xml:space="preserve"> Ejecución Compromisos / Apropiación Vigente.</w:t>
            </w:r>
          </w:p>
          <w:p w:rsidR="00283B0B" w:rsidRPr="00CE0761" w:rsidRDefault="00283B0B" w:rsidP="008F217D">
            <w:pPr>
              <w:jc w:val="both"/>
              <w:rPr>
                <w:rFonts w:ascii="Verdana" w:hAnsi="Verdana"/>
                <w:sz w:val="20"/>
              </w:rPr>
            </w:pPr>
            <w:r w:rsidRPr="00CE0761">
              <w:rPr>
                <w:rFonts w:ascii="Verdana" w:hAnsi="Verdana"/>
                <w:b/>
                <w:sz w:val="20"/>
              </w:rPr>
              <w:t>Indicador:</w:t>
            </w:r>
            <w:r w:rsidRPr="00CE0761">
              <w:rPr>
                <w:rFonts w:ascii="Verdana" w:hAnsi="Verdana"/>
                <w:sz w:val="20"/>
              </w:rPr>
              <w:t xml:space="preserve"> </w:t>
            </w:r>
            <w:r w:rsidR="00CE0761">
              <w:rPr>
                <w:rFonts w:ascii="Verdana" w:hAnsi="Verdana"/>
                <w:sz w:val="20"/>
              </w:rPr>
              <w:t xml:space="preserve">48,2 </w:t>
            </w:r>
            <w:r w:rsidRPr="00CE0761">
              <w:rPr>
                <w:rFonts w:ascii="Verdana" w:hAnsi="Verdana"/>
                <w:sz w:val="20"/>
              </w:rPr>
              <w:t xml:space="preserve">/ </w:t>
            </w:r>
            <w:r w:rsidR="00CE0761">
              <w:rPr>
                <w:rFonts w:ascii="Verdana" w:hAnsi="Verdana"/>
                <w:sz w:val="20"/>
              </w:rPr>
              <w:t>756,3</w:t>
            </w:r>
            <w:r w:rsidRPr="00CE0761">
              <w:rPr>
                <w:rFonts w:ascii="Verdana" w:hAnsi="Verdana"/>
                <w:sz w:val="20"/>
              </w:rPr>
              <w:t xml:space="preserve"> = </w:t>
            </w:r>
            <w:r w:rsidR="00CE0761">
              <w:rPr>
                <w:rFonts w:ascii="Verdana" w:hAnsi="Verdana"/>
                <w:sz w:val="20"/>
              </w:rPr>
              <w:t>6,37</w:t>
            </w:r>
            <w:r w:rsidRPr="00CE0761">
              <w:rPr>
                <w:rFonts w:ascii="Verdana" w:hAnsi="Verdana"/>
                <w:sz w:val="20"/>
              </w:rPr>
              <w:t>%.</w:t>
            </w:r>
          </w:p>
          <w:p w:rsidR="00283B0B" w:rsidRPr="00CE0761" w:rsidRDefault="00283B0B" w:rsidP="008F217D">
            <w:pPr>
              <w:jc w:val="both"/>
              <w:rPr>
                <w:rFonts w:ascii="Verdana" w:hAnsi="Verdana"/>
                <w:sz w:val="20"/>
              </w:rPr>
            </w:pPr>
          </w:p>
          <w:p w:rsidR="00220BAC" w:rsidRPr="00220BAC" w:rsidRDefault="00220BAC" w:rsidP="008F217D">
            <w:pPr>
              <w:jc w:val="both"/>
              <w:rPr>
                <w:rFonts w:ascii="Verdana" w:hAnsi="Verdana"/>
                <w:sz w:val="20"/>
              </w:rPr>
            </w:pPr>
            <w:r>
              <w:rPr>
                <w:rFonts w:ascii="Verdana" w:hAnsi="Verdana"/>
                <w:sz w:val="20"/>
              </w:rPr>
              <w:t xml:space="preserve">Por cuenta de este proyecto, </w:t>
            </w:r>
            <w:r w:rsidR="00283B0B" w:rsidRPr="00CE0761">
              <w:rPr>
                <w:rFonts w:ascii="Verdana" w:hAnsi="Verdana"/>
                <w:sz w:val="20"/>
              </w:rPr>
              <w:t xml:space="preserve">se comprometieron recursos por </w:t>
            </w:r>
            <w:r>
              <w:rPr>
                <w:rFonts w:ascii="Verdana" w:hAnsi="Verdana"/>
                <w:sz w:val="20"/>
              </w:rPr>
              <w:t>48,2</w:t>
            </w:r>
            <w:r w:rsidR="00283B0B" w:rsidRPr="00CE0761">
              <w:rPr>
                <w:rFonts w:ascii="Verdana" w:hAnsi="Verdana"/>
                <w:sz w:val="20"/>
              </w:rPr>
              <w:t xml:space="preserve"> millones para la firma de los contratos de servicios profesionales cuyo propósito es la gestión del proyecto </w:t>
            </w:r>
            <w:r w:rsidRPr="00220BAC">
              <w:rPr>
                <w:rFonts w:ascii="Verdana" w:hAnsi="Verdana"/>
                <w:sz w:val="20"/>
              </w:rPr>
              <w:t>Fortalecimiento de las Capacidades Tecnológicas de la Información en APC-Colombia, Nacional</w:t>
            </w:r>
            <w:r>
              <w:rPr>
                <w:rFonts w:ascii="Verdana" w:hAnsi="Verdana"/>
                <w:sz w:val="20"/>
              </w:rPr>
              <w:t>.</w:t>
            </w:r>
          </w:p>
        </w:tc>
        <w:tc>
          <w:tcPr>
            <w:tcW w:w="6640" w:type="dxa"/>
            <w:vAlign w:val="center"/>
          </w:tcPr>
          <w:p w:rsidR="00283B0B" w:rsidRPr="00CE0761" w:rsidRDefault="00283B0B" w:rsidP="008F217D">
            <w:pPr>
              <w:jc w:val="both"/>
              <w:rPr>
                <w:rFonts w:ascii="Verdana" w:hAnsi="Verdana"/>
                <w:sz w:val="20"/>
              </w:rPr>
            </w:pPr>
            <w:r w:rsidRPr="00CE0761">
              <w:rPr>
                <w:rFonts w:ascii="Verdana" w:hAnsi="Verdana"/>
                <w:b/>
                <w:sz w:val="20"/>
              </w:rPr>
              <w:t>Indicador:</w:t>
            </w:r>
            <w:r w:rsidRPr="00CE0761">
              <w:rPr>
                <w:rFonts w:ascii="Verdana" w:hAnsi="Verdana"/>
                <w:sz w:val="20"/>
              </w:rPr>
              <w:t xml:space="preserve"> Ejecución Obligaciones / Apropiación Vigente.</w:t>
            </w:r>
          </w:p>
          <w:p w:rsidR="00283B0B" w:rsidRPr="00CE0761" w:rsidRDefault="00283B0B" w:rsidP="008F217D">
            <w:pPr>
              <w:jc w:val="both"/>
              <w:rPr>
                <w:rFonts w:ascii="Verdana" w:hAnsi="Verdana"/>
                <w:sz w:val="20"/>
              </w:rPr>
            </w:pPr>
            <w:r w:rsidRPr="00CE0761">
              <w:rPr>
                <w:rFonts w:ascii="Verdana" w:hAnsi="Verdana"/>
                <w:b/>
                <w:sz w:val="20"/>
              </w:rPr>
              <w:t>Indicador:</w:t>
            </w:r>
            <w:r w:rsidRPr="00CE0761">
              <w:rPr>
                <w:rFonts w:ascii="Verdana" w:hAnsi="Verdana"/>
                <w:sz w:val="20"/>
              </w:rPr>
              <w:t xml:space="preserve"> </w:t>
            </w:r>
            <w:r w:rsidR="00CE0761">
              <w:rPr>
                <w:rFonts w:ascii="Verdana" w:hAnsi="Verdana"/>
                <w:sz w:val="20"/>
              </w:rPr>
              <w:t>0,0</w:t>
            </w:r>
            <w:r w:rsidRPr="00CE0761">
              <w:rPr>
                <w:rFonts w:ascii="Verdana" w:hAnsi="Verdana"/>
                <w:sz w:val="20"/>
              </w:rPr>
              <w:t xml:space="preserve"> / </w:t>
            </w:r>
            <w:r w:rsidR="00CE0761">
              <w:rPr>
                <w:rFonts w:ascii="Verdana" w:hAnsi="Verdana"/>
                <w:sz w:val="20"/>
              </w:rPr>
              <w:t>756,3 = 0,00</w:t>
            </w:r>
            <w:r w:rsidRPr="00CE0761">
              <w:rPr>
                <w:rFonts w:ascii="Verdana" w:hAnsi="Verdana"/>
                <w:sz w:val="20"/>
              </w:rPr>
              <w:t>%.</w:t>
            </w:r>
          </w:p>
          <w:p w:rsidR="00283B0B" w:rsidRPr="00CE0761" w:rsidRDefault="00283B0B" w:rsidP="008F217D">
            <w:pPr>
              <w:jc w:val="both"/>
              <w:rPr>
                <w:rFonts w:ascii="Verdana" w:hAnsi="Verdana"/>
                <w:sz w:val="20"/>
              </w:rPr>
            </w:pPr>
          </w:p>
          <w:p w:rsidR="00220BAC" w:rsidRDefault="00220BAC" w:rsidP="008F217D">
            <w:pPr>
              <w:jc w:val="both"/>
              <w:rPr>
                <w:rFonts w:ascii="Verdana" w:hAnsi="Verdana"/>
                <w:sz w:val="20"/>
              </w:rPr>
            </w:pPr>
            <w:r w:rsidRPr="00560B40">
              <w:rPr>
                <w:rFonts w:ascii="Verdana" w:hAnsi="Verdana"/>
                <w:sz w:val="20"/>
              </w:rPr>
              <w:t>No hubo ejecución en el mes de enero y no se tenía proyectado ningún gasto en el mes de enero.</w:t>
            </w:r>
          </w:p>
          <w:p w:rsidR="00220BAC" w:rsidRDefault="00220BAC" w:rsidP="008F217D">
            <w:pPr>
              <w:jc w:val="both"/>
              <w:rPr>
                <w:rFonts w:ascii="Verdana" w:hAnsi="Verdana"/>
                <w:sz w:val="20"/>
              </w:rPr>
            </w:pPr>
          </w:p>
          <w:p w:rsidR="00220BAC" w:rsidRDefault="00220BAC" w:rsidP="008F217D">
            <w:pPr>
              <w:jc w:val="both"/>
              <w:rPr>
                <w:rFonts w:ascii="Verdana" w:hAnsi="Verdana"/>
                <w:sz w:val="20"/>
              </w:rPr>
            </w:pPr>
          </w:p>
          <w:p w:rsidR="00283B0B" w:rsidRPr="00CE0761" w:rsidRDefault="00283B0B" w:rsidP="008F217D">
            <w:pPr>
              <w:jc w:val="both"/>
            </w:pPr>
            <w:r w:rsidRPr="00CE0761">
              <w:rPr>
                <w:rFonts w:ascii="Verdana" w:hAnsi="Verdana"/>
                <w:sz w:val="20"/>
              </w:rPr>
              <w:t xml:space="preserve"> </w:t>
            </w:r>
          </w:p>
        </w:tc>
      </w:tr>
    </w:tbl>
    <w:p w:rsidR="00283B0B" w:rsidRPr="00CE0761" w:rsidRDefault="00283B0B" w:rsidP="00283B0B">
      <w:pPr>
        <w:jc w:val="both"/>
      </w:pPr>
    </w:p>
    <w:p w:rsidR="00283B0B" w:rsidRPr="005035AC" w:rsidRDefault="00283B0B" w:rsidP="00283B0B">
      <w:pPr>
        <w:jc w:val="both"/>
        <w:rPr>
          <w:rFonts w:ascii="Verdana" w:hAnsi="Verdana"/>
          <w:b/>
        </w:rPr>
      </w:pPr>
      <w:r w:rsidRPr="005035AC">
        <w:rPr>
          <w:rFonts w:ascii="Verdana" w:hAnsi="Verdana"/>
          <w:b/>
        </w:rPr>
        <w:lastRenderedPageBreak/>
        <w:t>Pro</w:t>
      </w:r>
      <w:r w:rsidR="00860A9A" w:rsidRPr="005035AC">
        <w:rPr>
          <w:rFonts w:ascii="Verdana" w:hAnsi="Verdana"/>
          <w:b/>
        </w:rPr>
        <w:t>yecto de inversión C-0208-1000-8</w:t>
      </w:r>
      <w:r w:rsidRPr="005035AC">
        <w:rPr>
          <w:rFonts w:ascii="Verdana" w:hAnsi="Verdana"/>
          <w:b/>
        </w:rPr>
        <w:t xml:space="preserve">: Distribución </w:t>
      </w:r>
      <w:r w:rsidR="00860A9A" w:rsidRPr="005035AC">
        <w:rPr>
          <w:rFonts w:ascii="Verdana" w:hAnsi="Verdana"/>
          <w:b/>
        </w:rPr>
        <w:t xml:space="preserve">de recursos de Cooperación  Internacional No </w:t>
      </w:r>
      <w:r w:rsidR="005035AC" w:rsidRPr="005035AC">
        <w:rPr>
          <w:rFonts w:ascii="Verdana" w:hAnsi="Verdana"/>
          <w:b/>
        </w:rPr>
        <w:t>Reembolsable a Entidades del Orden Nacional</w:t>
      </w:r>
      <w:r w:rsidR="005035AC">
        <w:rPr>
          <w:rFonts w:ascii="Verdana" w:hAnsi="Verdana"/>
          <w:b/>
        </w:rPr>
        <w:t xml:space="preserve"> - </w:t>
      </w:r>
      <w:r w:rsidR="005035AC" w:rsidRPr="005035AC">
        <w:rPr>
          <w:rFonts w:ascii="Verdana" w:hAnsi="Verdana"/>
          <w:b/>
        </w:rPr>
        <w:t>Distribución Previo Concepto DNP</w:t>
      </w:r>
      <w:r w:rsidRPr="005035AC">
        <w:rPr>
          <w:rFonts w:ascii="Verdana" w:hAnsi="Verdana"/>
          <w:b/>
        </w:rPr>
        <w:t>.</w:t>
      </w:r>
    </w:p>
    <w:p w:rsidR="00283B0B" w:rsidRPr="005035AC" w:rsidRDefault="00283B0B" w:rsidP="00283B0B">
      <w:pPr>
        <w:jc w:val="both"/>
        <w:rPr>
          <w:rFonts w:ascii="Verdana" w:hAnsi="Verdana"/>
          <w:b/>
        </w:rPr>
      </w:pPr>
    </w:p>
    <w:p w:rsidR="00283B0B" w:rsidRPr="005035AC" w:rsidRDefault="00283B0B" w:rsidP="00283B0B">
      <w:pPr>
        <w:jc w:val="both"/>
        <w:rPr>
          <w:rFonts w:ascii="Verdana" w:hAnsi="Verdana"/>
          <w:sz w:val="20"/>
        </w:rPr>
      </w:pPr>
      <w:r w:rsidRPr="005035AC">
        <w:rPr>
          <w:rFonts w:ascii="Verdana" w:hAnsi="Verdana"/>
          <w:b/>
          <w:sz w:val="20"/>
        </w:rPr>
        <w:t>Indicador:</w:t>
      </w:r>
      <w:r w:rsidRPr="005035AC">
        <w:rPr>
          <w:rFonts w:ascii="Verdana" w:hAnsi="Verdana"/>
          <w:sz w:val="20"/>
        </w:rPr>
        <w:t xml:space="preserve"> Apropiación Distribuida / Apropiación Total.</w:t>
      </w:r>
    </w:p>
    <w:p w:rsidR="00283B0B" w:rsidRDefault="00283B0B" w:rsidP="00283B0B">
      <w:pPr>
        <w:jc w:val="both"/>
      </w:pPr>
      <w:r w:rsidRPr="005035AC">
        <w:rPr>
          <w:rFonts w:ascii="Verdana" w:hAnsi="Verdana"/>
          <w:b/>
          <w:sz w:val="20"/>
        </w:rPr>
        <w:t>Indicador:</w:t>
      </w:r>
      <w:r w:rsidR="005035AC">
        <w:rPr>
          <w:rFonts w:ascii="Verdana" w:hAnsi="Verdana"/>
          <w:sz w:val="20"/>
        </w:rPr>
        <w:t xml:space="preserve"> 0,0 / 30.141,0</w:t>
      </w:r>
      <w:r w:rsidRPr="005035AC">
        <w:rPr>
          <w:rFonts w:ascii="Verdana" w:hAnsi="Verdana"/>
          <w:sz w:val="20"/>
        </w:rPr>
        <w:t xml:space="preserve"> = 0,00%.</w:t>
      </w:r>
    </w:p>
    <w:p w:rsidR="005035AC" w:rsidRPr="005035AC" w:rsidRDefault="005035AC" w:rsidP="00283B0B">
      <w:pPr>
        <w:jc w:val="both"/>
      </w:pPr>
    </w:p>
    <w:p w:rsidR="00283B0B" w:rsidRPr="005035AC" w:rsidRDefault="00283B0B" w:rsidP="00283B0B">
      <w:pPr>
        <w:jc w:val="both"/>
        <w:rPr>
          <w:rFonts w:ascii="Verdana" w:hAnsi="Verdana"/>
          <w:sz w:val="20"/>
        </w:rPr>
      </w:pPr>
      <w:r w:rsidRPr="005035AC">
        <w:rPr>
          <w:rFonts w:ascii="Verdana" w:hAnsi="Verdana"/>
          <w:sz w:val="20"/>
        </w:rPr>
        <w:t xml:space="preserve">En relación con el proyecto de inversión </w:t>
      </w:r>
      <w:r w:rsidR="005035AC" w:rsidRPr="005035AC">
        <w:rPr>
          <w:rFonts w:ascii="Verdana" w:hAnsi="Verdana"/>
          <w:sz w:val="20"/>
        </w:rPr>
        <w:t>C-0208-1000-8</w:t>
      </w:r>
      <w:r w:rsidRPr="005035AC">
        <w:rPr>
          <w:rFonts w:ascii="Verdana" w:hAnsi="Verdana"/>
          <w:sz w:val="20"/>
        </w:rPr>
        <w:t xml:space="preserve">: </w:t>
      </w:r>
      <w:r w:rsidR="005035AC" w:rsidRPr="005035AC">
        <w:rPr>
          <w:rFonts w:ascii="Verdana" w:hAnsi="Verdana"/>
          <w:b/>
          <w:sz w:val="20"/>
        </w:rPr>
        <w:t>Distribución de recursos de Cooperación  Internacional No Reembolsable a Entidades del Orden Nacional - Distribución Previo Concepto DNP</w:t>
      </w:r>
      <w:r w:rsidRPr="005035AC">
        <w:rPr>
          <w:rFonts w:ascii="Verdana" w:hAnsi="Verdana"/>
          <w:sz w:val="20"/>
        </w:rPr>
        <w:t xml:space="preserve">, se cuenta con una apropiación de </w:t>
      </w:r>
      <w:r w:rsidR="005035AC">
        <w:rPr>
          <w:rFonts w:ascii="Verdana" w:hAnsi="Verdana"/>
          <w:sz w:val="20"/>
        </w:rPr>
        <w:t>30.141</w:t>
      </w:r>
      <w:r w:rsidRPr="005035AC">
        <w:rPr>
          <w:rFonts w:ascii="Verdana" w:hAnsi="Verdana"/>
          <w:sz w:val="20"/>
        </w:rPr>
        <w:t xml:space="preserve">,0 millones para distribuir espacio fiscal con el propósito de incorporar a los presupuestos de inversión de algunas entidades públicas del nivel nacional, los recursos de cooperación financiera internacional no reembolsable que dichas entidades logren gestionar durante la vigencia, sin que sea necesario la expedición de un decreto para incorporar dichos recursos. Durante el transcurso de la vigencia se incorporarán los citados recursos en la medida en que lo soliciten las entidades, previo concepto favorable del Departamento Nacional de Planeación - DNP y aprobación por parte del Ministerio de Hacienda y Crédito Público.   </w:t>
      </w:r>
    </w:p>
    <w:p w:rsidR="00283B0B" w:rsidRPr="003C58A7" w:rsidRDefault="00283B0B" w:rsidP="00B9595B">
      <w:pPr>
        <w:rPr>
          <w:rFonts w:ascii="Verdana" w:hAnsi="Verdana"/>
          <w:b/>
          <w:sz w:val="20"/>
          <w:szCs w:val="20"/>
        </w:rPr>
      </w:pPr>
    </w:p>
    <w:sectPr w:rsidR="00283B0B" w:rsidRPr="003C58A7" w:rsidSect="00FB3B05">
      <w:headerReference w:type="default" r:id="rId8"/>
      <w:footerReference w:type="default" r:id="rId9"/>
      <w:pgSz w:w="15840" w:h="12240" w:orient="landscape"/>
      <w:pgMar w:top="198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276" w:rsidRDefault="00143276" w:rsidP="000D42D2">
      <w:r>
        <w:separator/>
      </w:r>
    </w:p>
  </w:endnote>
  <w:endnote w:type="continuationSeparator" w:id="0">
    <w:p w:rsidR="00143276" w:rsidRDefault="00143276" w:rsidP="000D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C4" w:rsidRDefault="003A11C2" w:rsidP="00B421C7">
    <w:pPr>
      <w:pStyle w:val="Piedepgina"/>
      <w:tabs>
        <w:tab w:val="clear" w:pos="4252"/>
        <w:tab w:val="clear" w:pos="8504"/>
        <w:tab w:val="left" w:pos="4138"/>
      </w:tabs>
    </w:pPr>
    <w:r>
      <w:rPr>
        <w:noProof/>
        <w:lang w:val="es-ES"/>
      </w:rPr>
      <w:drawing>
        <wp:anchor distT="0" distB="0" distL="114300" distR="114300" simplePos="0" relativeHeight="251666432" behindDoc="1" locked="0" layoutInCell="1" allowOverlap="1" wp14:anchorId="6808CC7D" wp14:editId="3499C841">
          <wp:simplePos x="0" y="0"/>
          <wp:positionH relativeFrom="column">
            <wp:posOffset>-881380</wp:posOffset>
          </wp:positionH>
          <wp:positionV relativeFrom="paragraph">
            <wp:posOffset>-285750</wp:posOffset>
          </wp:positionV>
          <wp:extent cx="10020300" cy="8953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castrillon:Documents:Logotipo APC-2018:PIEZAS:Hoja Carta:Formato-hoja carta-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203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1C7">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276" w:rsidRDefault="00143276" w:rsidP="000D42D2">
      <w:r>
        <w:separator/>
      </w:r>
    </w:p>
  </w:footnote>
  <w:footnote w:type="continuationSeparator" w:id="0">
    <w:p w:rsidR="00143276" w:rsidRDefault="00143276" w:rsidP="000D4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C4" w:rsidRDefault="003A11C2" w:rsidP="00FB3B05">
    <w:pPr>
      <w:pStyle w:val="Encabezado"/>
      <w:tabs>
        <w:tab w:val="clear" w:pos="4252"/>
        <w:tab w:val="clear" w:pos="8504"/>
        <w:tab w:val="left" w:pos="2822"/>
      </w:tabs>
    </w:pPr>
    <w:r>
      <w:rPr>
        <w:noProof/>
        <w:lang w:val="es-ES"/>
      </w:rPr>
      <w:drawing>
        <wp:anchor distT="0" distB="0" distL="114300" distR="114300" simplePos="0" relativeHeight="251664384" behindDoc="1" locked="0" layoutInCell="1" allowOverlap="1">
          <wp:simplePos x="0" y="0"/>
          <wp:positionH relativeFrom="column">
            <wp:posOffset>23495</wp:posOffset>
          </wp:positionH>
          <wp:positionV relativeFrom="paragraph">
            <wp:posOffset>-135890</wp:posOffset>
          </wp:positionV>
          <wp:extent cx="4057650" cy="633095"/>
          <wp:effectExtent l="0" t="0" r="0" b="0"/>
          <wp:wrapTight wrapText="bothSides">
            <wp:wrapPolygon edited="0">
              <wp:start x="0" y="0"/>
              <wp:lineTo x="0" y="20798"/>
              <wp:lineTo x="21499" y="20798"/>
              <wp:lineTo x="21499"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57650" cy="633095"/>
                  </a:xfrm>
                  <a:prstGeom prst="rect">
                    <a:avLst/>
                  </a:prstGeom>
                </pic:spPr>
              </pic:pic>
            </a:graphicData>
          </a:graphic>
          <wp14:sizeRelH relativeFrom="margin">
            <wp14:pctWidth>0</wp14:pctWidth>
          </wp14:sizeRelH>
          <wp14:sizeRelV relativeFrom="margin">
            <wp14:pctHeight>0</wp14:pctHeight>
          </wp14:sizeRelV>
        </wp:anchor>
      </w:drawing>
    </w:r>
    <w:r w:rsidR="009B3370">
      <w:rPr>
        <w:rFonts w:ascii="Times New Roman" w:hAnsi="Times New Roman" w:cs="Times New Roman"/>
        <w:noProof/>
        <w:lang w:val="es-ES"/>
      </w:rPr>
      <mc:AlternateContent>
        <mc:Choice Requires="wps">
          <w:drawing>
            <wp:anchor distT="0" distB="0" distL="114300" distR="114300" simplePos="0" relativeHeight="251663360" behindDoc="0" locked="0" layoutInCell="1" allowOverlap="1" wp14:anchorId="51262CCC" wp14:editId="65177D0C">
              <wp:simplePos x="0" y="0"/>
              <wp:positionH relativeFrom="margin">
                <wp:posOffset>2332355</wp:posOffset>
              </wp:positionH>
              <wp:positionV relativeFrom="paragraph">
                <wp:posOffset>607060</wp:posOffset>
              </wp:positionV>
              <wp:extent cx="2593340" cy="176530"/>
              <wp:effectExtent l="0" t="0" r="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370" w:rsidRDefault="009B3370" w:rsidP="009B3370">
                          <w:pPr>
                            <w:pStyle w:val="NormalWeb"/>
                            <w:tabs>
                              <w:tab w:val="center" w:pos="4419"/>
                              <w:tab w:val="right" w:pos="7655"/>
                              <w:tab w:val="right" w:pos="8838"/>
                            </w:tabs>
                            <w:rPr>
                              <w:rFonts w:ascii="Arial Narrow" w:eastAsiaTheme="minorHAnsi" w:hAnsi="Arial Narrow" w:cstheme="minorBidi"/>
                              <w:bCs/>
                              <w:sz w:val="14"/>
                              <w:lang w:val="es-MX"/>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262CCC" id="_x0000_t202" coordsize="21600,21600" o:spt="202" path="m,l,21600r21600,l21600,xe">
              <v:stroke joinstyle="miter"/>
              <v:path gradientshapeok="t" o:connecttype="rect"/>
            </v:shapetype>
            <v:shape id="Cuadro de texto 1" o:spid="_x0000_s1026" type="#_x0000_t202" style="position:absolute;margin-left:183.65pt;margin-top:47.8pt;width:204.2pt;height:13.9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" filled="f" stroked="f">
              <v:textbox style="mso-fit-shape-to-text:t">
                <w:txbxContent>
                  <w:p w:rsidR="009B3370" w:rsidRDefault="009B3370" w:rsidP="009B3370">
                    <w:pPr>
                      <w:pStyle w:val="NormalWeb"/>
                      <w:tabs>
                        <w:tab w:val="center" w:pos="4419"/>
                        <w:tab w:val="right" w:pos="7655"/>
                        <w:tab w:val="right" w:pos="8838"/>
                      </w:tabs>
                      <w:rPr>
                        <w:rFonts w:ascii="Arial Narrow" w:eastAsiaTheme="minorHAnsi" w:hAnsi="Arial Narrow" w:cstheme="minorBidi"/>
                        <w:bCs/>
                        <w:sz w:val="14"/>
                        <w:lang w:val="es-MX"/>
                      </w:rPr>
                    </w:pPr>
                  </w:p>
                </w:txbxContent>
              </v:textbox>
              <w10:wrap anchorx="margin"/>
            </v:shape>
          </w:pict>
        </mc:Fallback>
      </mc:AlternateContent>
    </w:r>
    <w:r w:rsidR="00FB3B0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498"/>
    <w:multiLevelType w:val="hybridMultilevel"/>
    <w:tmpl w:val="C0B69214"/>
    <w:lvl w:ilvl="0" w:tplc="7908C24E">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 w15:restartNumberingAfterBreak="0">
    <w:nsid w:val="087636BA"/>
    <w:multiLevelType w:val="hybridMultilevel"/>
    <w:tmpl w:val="0B1A480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3B667A"/>
    <w:multiLevelType w:val="hybridMultilevel"/>
    <w:tmpl w:val="95AECA1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5F4927"/>
    <w:multiLevelType w:val="hybridMultilevel"/>
    <w:tmpl w:val="2592D2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E46A2F"/>
    <w:multiLevelType w:val="hybridMultilevel"/>
    <w:tmpl w:val="E68291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BD616E"/>
    <w:multiLevelType w:val="hybridMultilevel"/>
    <w:tmpl w:val="34A86B9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EA2BA3"/>
    <w:multiLevelType w:val="hybridMultilevel"/>
    <w:tmpl w:val="B0E26F16"/>
    <w:lvl w:ilvl="0" w:tplc="2480CDB8">
      <w:start w:val="1"/>
      <w:numFmt w:val="decimal"/>
      <w:lvlText w:val="%1)"/>
      <w:lvlJc w:val="left"/>
      <w:pPr>
        <w:ind w:left="720" w:hanging="360"/>
      </w:pPr>
      <w:rPr>
        <w:rFonts w:ascii="Verdana" w:eastAsiaTheme="minorEastAsia" w:hAnsi="Verdan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8F381F"/>
    <w:multiLevelType w:val="hybridMultilevel"/>
    <w:tmpl w:val="4112CC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8205023"/>
    <w:multiLevelType w:val="hybridMultilevel"/>
    <w:tmpl w:val="F042C28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634CAD"/>
    <w:multiLevelType w:val="hybridMultilevel"/>
    <w:tmpl w:val="F528BA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0E2595"/>
    <w:multiLevelType w:val="hybridMultilevel"/>
    <w:tmpl w:val="091CF8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3E5393"/>
    <w:multiLevelType w:val="hybridMultilevel"/>
    <w:tmpl w:val="47B450A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58609D0"/>
    <w:multiLevelType w:val="hybridMultilevel"/>
    <w:tmpl w:val="BF62CA1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2E92446"/>
    <w:multiLevelType w:val="hybridMultilevel"/>
    <w:tmpl w:val="72047ECA"/>
    <w:lvl w:ilvl="0" w:tplc="240A000B">
      <w:start w:val="1"/>
      <w:numFmt w:val="bullet"/>
      <w:lvlText w:val=""/>
      <w:lvlJc w:val="left"/>
      <w:pPr>
        <w:ind w:left="795" w:hanging="360"/>
      </w:pPr>
      <w:rPr>
        <w:rFonts w:ascii="Wingdings" w:hAnsi="Wingdings"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4" w15:restartNumberingAfterBreak="0">
    <w:nsid w:val="773A4BAE"/>
    <w:multiLevelType w:val="hybridMultilevel"/>
    <w:tmpl w:val="CFD2329C"/>
    <w:lvl w:ilvl="0" w:tplc="2F5EB226">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B46002B"/>
    <w:multiLevelType w:val="hybridMultilevel"/>
    <w:tmpl w:val="518E12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3"/>
  </w:num>
  <w:num w:numId="3">
    <w:abstractNumId w:val="8"/>
  </w:num>
  <w:num w:numId="4">
    <w:abstractNumId w:val="10"/>
  </w:num>
  <w:num w:numId="5">
    <w:abstractNumId w:val="11"/>
  </w:num>
  <w:num w:numId="6">
    <w:abstractNumId w:val="0"/>
  </w:num>
  <w:num w:numId="7">
    <w:abstractNumId w:val="6"/>
  </w:num>
  <w:num w:numId="8">
    <w:abstractNumId w:val="1"/>
  </w:num>
  <w:num w:numId="9">
    <w:abstractNumId w:val="7"/>
  </w:num>
  <w:num w:numId="10">
    <w:abstractNumId w:val="5"/>
  </w:num>
  <w:num w:numId="11">
    <w:abstractNumId w:val="9"/>
  </w:num>
  <w:num w:numId="12">
    <w:abstractNumId w:val="15"/>
  </w:num>
  <w:num w:numId="13">
    <w:abstractNumId w:val="14"/>
  </w:num>
  <w:num w:numId="14">
    <w:abstractNumId w:val="2"/>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D2"/>
    <w:rsid w:val="00001159"/>
    <w:rsid w:val="0000129B"/>
    <w:rsid w:val="0000150E"/>
    <w:rsid w:val="00002183"/>
    <w:rsid w:val="00002DBF"/>
    <w:rsid w:val="00007621"/>
    <w:rsid w:val="000101B6"/>
    <w:rsid w:val="00012B2E"/>
    <w:rsid w:val="000145BA"/>
    <w:rsid w:val="000239CD"/>
    <w:rsid w:val="000245A9"/>
    <w:rsid w:val="000258B2"/>
    <w:rsid w:val="000265A6"/>
    <w:rsid w:val="0003104B"/>
    <w:rsid w:val="000322FF"/>
    <w:rsid w:val="000327FA"/>
    <w:rsid w:val="00033284"/>
    <w:rsid w:val="0003383D"/>
    <w:rsid w:val="000345DF"/>
    <w:rsid w:val="00034819"/>
    <w:rsid w:val="000355ED"/>
    <w:rsid w:val="000363B7"/>
    <w:rsid w:val="000419AD"/>
    <w:rsid w:val="00041BCF"/>
    <w:rsid w:val="00044C82"/>
    <w:rsid w:val="000455A0"/>
    <w:rsid w:val="00045732"/>
    <w:rsid w:val="00047B73"/>
    <w:rsid w:val="00052079"/>
    <w:rsid w:val="00052EE3"/>
    <w:rsid w:val="0005426F"/>
    <w:rsid w:val="00062CAB"/>
    <w:rsid w:val="00066FF6"/>
    <w:rsid w:val="000670E3"/>
    <w:rsid w:val="00070B9F"/>
    <w:rsid w:val="00072D5B"/>
    <w:rsid w:val="000756F0"/>
    <w:rsid w:val="00076094"/>
    <w:rsid w:val="00076138"/>
    <w:rsid w:val="0008212A"/>
    <w:rsid w:val="00083246"/>
    <w:rsid w:val="00084B60"/>
    <w:rsid w:val="0008702D"/>
    <w:rsid w:val="00087216"/>
    <w:rsid w:val="00087EB8"/>
    <w:rsid w:val="00090729"/>
    <w:rsid w:val="00091CF9"/>
    <w:rsid w:val="000944BB"/>
    <w:rsid w:val="00097F47"/>
    <w:rsid w:val="000A0999"/>
    <w:rsid w:val="000A103A"/>
    <w:rsid w:val="000A338A"/>
    <w:rsid w:val="000A3642"/>
    <w:rsid w:val="000A3E20"/>
    <w:rsid w:val="000A58D8"/>
    <w:rsid w:val="000A6AED"/>
    <w:rsid w:val="000B10ED"/>
    <w:rsid w:val="000B4931"/>
    <w:rsid w:val="000B4CFF"/>
    <w:rsid w:val="000B688F"/>
    <w:rsid w:val="000C0F06"/>
    <w:rsid w:val="000C5C51"/>
    <w:rsid w:val="000C745E"/>
    <w:rsid w:val="000D0CCE"/>
    <w:rsid w:val="000D25B0"/>
    <w:rsid w:val="000D3334"/>
    <w:rsid w:val="000D3FEB"/>
    <w:rsid w:val="000D42D2"/>
    <w:rsid w:val="000D46E1"/>
    <w:rsid w:val="000E3954"/>
    <w:rsid w:val="000E4495"/>
    <w:rsid w:val="000E4B37"/>
    <w:rsid w:val="000E582D"/>
    <w:rsid w:val="000E7A76"/>
    <w:rsid w:val="000F00F2"/>
    <w:rsid w:val="000F097E"/>
    <w:rsid w:val="000F43E9"/>
    <w:rsid w:val="000F50CE"/>
    <w:rsid w:val="000F5F4F"/>
    <w:rsid w:val="000F74E7"/>
    <w:rsid w:val="00100B8A"/>
    <w:rsid w:val="00100BDB"/>
    <w:rsid w:val="001012B9"/>
    <w:rsid w:val="00103AEF"/>
    <w:rsid w:val="00103CD2"/>
    <w:rsid w:val="00104122"/>
    <w:rsid w:val="00104B75"/>
    <w:rsid w:val="0010548D"/>
    <w:rsid w:val="00106029"/>
    <w:rsid w:val="00110126"/>
    <w:rsid w:val="0011015F"/>
    <w:rsid w:val="001117A6"/>
    <w:rsid w:val="00112015"/>
    <w:rsid w:val="00112321"/>
    <w:rsid w:val="00113F88"/>
    <w:rsid w:val="001160A3"/>
    <w:rsid w:val="00116FC5"/>
    <w:rsid w:val="0012070D"/>
    <w:rsid w:val="001208B7"/>
    <w:rsid w:val="001217CD"/>
    <w:rsid w:val="00121948"/>
    <w:rsid w:val="00123A1A"/>
    <w:rsid w:val="00123DEA"/>
    <w:rsid w:val="001243F5"/>
    <w:rsid w:val="00124C7F"/>
    <w:rsid w:val="001251B0"/>
    <w:rsid w:val="00126649"/>
    <w:rsid w:val="00126F41"/>
    <w:rsid w:val="00127466"/>
    <w:rsid w:val="00130EF2"/>
    <w:rsid w:val="001358DD"/>
    <w:rsid w:val="001401CF"/>
    <w:rsid w:val="00143276"/>
    <w:rsid w:val="00144029"/>
    <w:rsid w:val="00144592"/>
    <w:rsid w:val="001447A3"/>
    <w:rsid w:val="00145653"/>
    <w:rsid w:val="00146065"/>
    <w:rsid w:val="00147638"/>
    <w:rsid w:val="00154350"/>
    <w:rsid w:val="00154641"/>
    <w:rsid w:val="00155E80"/>
    <w:rsid w:val="0015718A"/>
    <w:rsid w:val="001574A9"/>
    <w:rsid w:val="00160E5D"/>
    <w:rsid w:val="001620CE"/>
    <w:rsid w:val="001635AC"/>
    <w:rsid w:val="001644BB"/>
    <w:rsid w:val="001645D6"/>
    <w:rsid w:val="0016603E"/>
    <w:rsid w:val="00172997"/>
    <w:rsid w:val="00172CB9"/>
    <w:rsid w:val="001738E7"/>
    <w:rsid w:val="00176925"/>
    <w:rsid w:val="00177162"/>
    <w:rsid w:val="00182BFD"/>
    <w:rsid w:val="0018536E"/>
    <w:rsid w:val="00192EC0"/>
    <w:rsid w:val="00195CB4"/>
    <w:rsid w:val="001968AE"/>
    <w:rsid w:val="00196AAC"/>
    <w:rsid w:val="00196D9B"/>
    <w:rsid w:val="001974EF"/>
    <w:rsid w:val="001A11F3"/>
    <w:rsid w:val="001A2C44"/>
    <w:rsid w:val="001A3E44"/>
    <w:rsid w:val="001A40CB"/>
    <w:rsid w:val="001A449D"/>
    <w:rsid w:val="001A58BC"/>
    <w:rsid w:val="001A5CE3"/>
    <w:rsid w:val="001A7A79"/>
    <w:rsid w:val="001A7FF3"/>
    <w:rsid w:val="001B015C"/>
    <w:rsid w:val="001B14AF"/>
    <w:rsid w:val="001B1F16"/>
    <w:rsid w:val="001B2BED"/>
    <w:rsid w:val="001B4690"/>
    <w:rsid w:val="001B64CC"/>
    <w:rsid w:val="001B7049"/>
    <w:rsid w:val="001C0118"/>
    <w:rsid w:val="001C0F84"/>
    <w:rsid w:val="001C1F0E"/>
    <w:rsid w:val="001C2367"/>
    <w:rsid w:val="001C3F9F"/>
    <w:rsid w:val="001C53A2"/>
    <w:rsid w:val="001C725E"/>
    <w:rsid w:val="001D11D2"/>
    <w:rsid w:val="001D1D07"/>
    <w:rsid w:val="001D5307"/>
    <w:rsid w:val="001D7680"/>
    <w:rsid w:val="001E0801"/>
    <w:rsid w:val="001E22C0"/>
    <w:rsid w:val="001E2EA5"/>
    <w:rsid w:val="001E4610"/>
    <w:rsid w:val="001E5A6C"/>
    <w:rsid w:val="001E6568"/>
    <w:rsid w:val="001E6F30"/>
    <w:rsid w:val="001E7DFA"/>
    <w:rsid w:val="001F5002"/>
    <w:rsid w:val="001F5213"/>
    <w:rsid w:val="001F6498"/>
    <w:rsid w:val="001F6745"/>
    <w:rsid w:val="00203FD4"/>
    <w:rsid w:val="00205C13"/>
    <w:rsid w:val="00205D21"/>
    <w:rsid w:val="00206E99"/>
    <w:rsid w:val="00211E13"/>
    <w:rsid w:val="00212C54"/>
    <w:rsid w:val="00212D93"/>
    <w:rsid w:val="00213397"/>
    <w:rsid w:val="00213C4B"/>
    <w:rsid w:val="00216932"/>
    <w:rsid w:val="0022076C"/>
    <w:rsid w:val="00220BAC"/>
    <w:rsid w:val="0022342E"/>
    <w:rsid w:val="00224892"/>
    <w:rsid w:val="0023060C"/>
    <w:rsid w:val="00232C17"/>
    <w:rsid w:val="00234513"/>
    <w:rsid w:val="00234E57"/>
    <w:rsid w:val="002354E5"/>
    <w:rsid w:val="00237829"/>
    <w:rsid w:val="00241F24"/>
    <w:rsid w:val="00243D5E"/>
    <w:rsid w:val="00244E97"/>
    <w:rsid w:val="002457D5"/>
    <w:rsid w:val="00245D35"/>
    <w:rsid w:val="00246011"/>
    <w:rsid w:val="00247819"/>
    <w:rsid w:val="0025037B"/>
    <w:rsid w:val="00250DE8"/>
    <w:rsid w:val="00251F73"/>
    <w:rsid w:val="00254694"/>
    <w:rsid w:val="00255E96"/>
    <w:rsid w:val="002571E7"/>
    <w:rsid w:val="0026092F"/>
    <w:rsid w:val="00264608"/>
    <w:rsid w:val="00265A04"/>
    <w:rsid w:val="00265D9B"/>
    <w:rsid w:val="00273008"/>
    <w:rsid w:val="00274952"/>
    <w:rsid w:val="00274FB5"/>
    <w:rsid w:val="002758E6"/>
    <w:rsid w:val="002762E5"/>
    <w:rsid w:val="002772EE"/>
    <w:rsid w:val="00277378"/>
    <w:rsid w:val="00283B0B"/>
    <w:rsid w:val="00284182"/>
    <w:rsid w:val="00286DF3"/>
    <w:rsid w:val="002876A6"/>
    <w:rsid w:val="00291F1C"/>
    <w:rsid w:val="002926C1"/>
    <w:rsid w:val="00292784"/>
    <w:rsid w:val="00293476"/>
    <w:rsid w:val="00296429"/>
    <w:rsid w:val="00296A70"/>
    <w:rsid w:val="002A0D37"/>
    <w:rsid w:val="002A1602"/>
    <w:rsid w:val="002A3D8F"/>
    <w:rsid w:val="002A6251"/>
    <w:rsid w:val="002A6F64"/>
    <w:rsid w:val="002B1293"/>
    <w:rsid w:val="002B13F8"/>
    <w:rsid w:val="002B1F8C"/>
    <w:rsid w:val="002B2795"/>
    <w:rsid w:val="002B3F03"/>
    <w:rsid w:val="002B435B"/>
    <w:rsid w:val="002B4E41"/>
    <w:rsid w:val="002B6279"/>
    <w:rsid w:val="002B6891"/>
    <w:rsid w:val="002B7882"/>
    <w:rsid w:val="002B7AF6"/>
    <w:rsid w:val="002B7C0A"/>
    <w:rsid w:val="002C4438"/>
    <w:rsid w:val="002C483A"/>
    <w:rsid w:val="002C5256"/>
    <w:rsid w:val="002C53DD"/>
    <w:rsid w:val="002C63AF"/>
    <w:rsid w:val="002D03FC"/>
    <w:rsid w:val="002D4564"/>
    <w:rsid w:val="002D4C07"/>
    <w:rsid w:val="002D5316"/>
    <w:rsid w:val="002D5AE0"/>
    <w:rsid w:val="002D6765"/>
    <w:rsid w:val="002D6DF6"/>
    <w:rsid w:val="002E19CE"/>
    <w:rsid w:val="002F06C2"/>
    <w:rsid w:val="002F433E"/>
    <w:rsid w:val="002F4FDB"/>
    <w:rsid w:val="002F531E"/>
    <w:rsid w:val="00302CBA"/>
    <w:rsid w:val="0030355A"/>
    <w:rsid w:val="003074AA"/>
    <w:rsid w:val="00313B5F"/>
    <w:rsid w:val="00315431"/>
    <w:rsid w:val="00315643"/>
    <w:rsid w:val="00316E86"/>
    <w:rsid w:val="00324055"/>
    <w:rsid w:val="00324FBA"/>
    <w:rsid w:val="00326A4A"/>
    <w:rsid w:val="00326F9E"/>
    <w:rsid w:val="00330D08"/>
    <w:rsid w:val="00331583"/>
    <w:rsid w:val="0033305E"/>
    <w:rsid w:val="00333A74"/>
    <w:rsid w:val="00333AF5"/>
    <w:rsid w:val="003357D2"/>
    <w:rsid w:val="00341497"/>
    <w:rsid w:val="00342BC9"/>
    <w:rsid w:val="00344DCE"/>
    <w:rsid w:val="00347499"/>
    <w:rsid w:val="0034775A"/>
    <w:rsid w:val="00350551"/>
    <w:rsid w:val="00353B9A"/>
    <w:rsid w:val="00355DFC"/>
    <w:rsid w:val="00363008"/>
    <w:rsid w:val="003656E7"/>
    <w:rsid w:val="00365E78"/>
    <w:rsid w:val="0036641A"/>
    <w:rsid w:val="0037032C"/>
    <w:rsid w:val="003725D8"/>
    <w:rsid w:val="00374439"/>
    <w:rsid w:val="003754DB"/>
    <w:rsid w:val="0037712E"/>
    <w:rsid w:val="003775DA"/>
    <w:rsid w:val="00382221"/>
    <w:rsid w:val="003827F0"/>
    <w:rsid w:val="00382C70"/>
    <w:rsid w:val="00383069"/>
    <w:rsid w:val="00383503"/>
    <w:rsid w:val="00384BA9"/>
    <w:rsid w:val="003879A1"/>
    <w:rsid w:val="00391F15"/>
    <w:rsid w:val="00392FD5"/>
    <w:rsid w:val="00395614"/>
    <w:rsid w:val="0039662D"/>
    <w:rsid w:val="003966EE"/>
    <w:rsid w:val="00396EBF"/>
    <w:rsid w:val="00396EFB"/>
    <w:rsid w:val="00397300"/>
    <w:rsid w:val="00397826"/>
    <w:rsid w:val="003A0145"/>
    <w:rsid w:val="003A09C5"/>
    <w:rsid w:val="003A11C2"/>
    <w:rsid w:val="003A31FA"/>
    <w:rsid w:val="003A3C1F"/>
    <w:rsid w:val="003A5684"/>
    <w:rsid w:val="003A5F8C"/>
    <w:rsid w:val="003A6701"/>
    <w:rsid w:val="003A6AFB"/>
    <w:rsid w:val="003A742D"/>
    <w:rsid w:val="003B19A9"/>
    <w:rsid w:val="003B44FE"/>
    <w:rsid w:val="003B61E7"/>
    <w:rsid w:val="003B73DB"/>
    <w:rsid w:val="003C118D"/>
    <w:rsid w:val="003C330C"/>
    <w:rsid w:val="003C396A"/>
    <w:rsid w:val="003C4D32"/>
    <w:rsid w:val="003C51CF"/>
    <w:rsid w:val="003C58A7"/>
    <w:rsid w:val="003C5BB3"/>
    <w:rsid w:val="003C76D4"/>
    <w:rsid w:val="003C7ECA"/>
    <w:rsid w:val="003D267A"/>
    <w:rsid w:val="003D28B1"/>
    <w:rsid w:val="003D528E"/>
    <w:rsid w:val="003D52A5"/>
    <w:rsid w:val="003D6889"/>
    <w:rsid w:val="003D76DD"/>
    <w:rsid w:val="003D7739"/>
    <w:rsid w:val="003D7C1A"/>
    <w:rsid w:val="003E01B6"/>
    <w:rsid w:val="003E10C8"/>
    <w:rsid w:val="003E17AF"/>
    <w:rsid w:val="003E351F"/>
    <w:rsid w:val="003E42EA"/>
    <w:rsid w:val="003F06C2"/>
    <w:rsid w:val="003F0AD5"/>
    <w:rsid w:val="003F2322"/>
    <w:rsid w:val="003F246B"/>
    <w:rsid w:val="003F27E7"/>
    <w:rsid w:val="003F347F"/>
    <w:rsid w:val="003F607B"/>
    <w:rsid w:val="00404E97"/>
    <w:rsid w:val="00411873"/>
    <w:rsid w:val="00413E0C"/>
    <w:rsid w:val="00415A61"/>
    <w:rsid w:val="004162C2"/>
    <w:rsid w:val="0042533F"/>
    <w:rsid w:val="00425BBC"/>
    <w:rsid w:val="00426BF5"/>
    <w:rsid w:val="00426D3A"/>
    <w:rsid w:val="00427DCD"/>
    <w:rsid w:val="004339F0"/>
    <w:rsid w:val="004346C7"/>
    <w:rsid w:val="00434987"/>
    <w:rsid w:val="00434D94"/>
    <w:rsid w:val="00441C38"/>
    <w:rsid w:val="00443E32"/>
    <w:rsid w:val="004440F8"/>
    <w:rsid w:val="004442B1"/>
    <w:rsid w:val="0044552A"/>
    <w:rsid w:val="00450097"/>
    <w:rsid w:val="004506C0"/>
    <w:rsid w:val="004509FE"/>
    <w:rsid w:val="0045189C"/>
    <w:rsid w:val="00451D8B"/>
    <w:rsid w:val="00453ED1"/>
    <w:rsid w:val="00455F72"/>
    <w:rsid w:val="00456CE5"/>
    <w:rsid w:val="00460C08"/>
    <w:rsid w:val="004624AB"/>
    <w:rsid w:val="0046420F"/>
    <w:rsid w:val="00464CE7"/>
    <w:rsid w:val="004672AF"/>
    <w:rsid w:val="00470513"/>
    <w:rsid w:val="00474FBD"/>
    <w:rsid w:val="004757DE"/>
    <w:rsid w:val="00475859"/>
    <w:rsid w:val="00476DFF"/>
    <w:rsid w:val="004775B7"/>
    <w:rsid w:val="004779AA"/>
    <w:rsid w:val="00480F2E"/>
    <w:rsid w:val="00481B46"/>
    <w:rsid w:val="00482E4C"/>
    <w:rsid w:val="00483329"/>
    <w:rsid w:val="00483E61"/>
    <w:rsid w:val="00485CA6"/>
    <w:rsid w:val="00490246"/>
    <w:rsid w:val="00490925"/>
    <w:rsid w:val="00491107"/>
    <w:rsid w:val="00491D45"/>
    <w:rsid w:val="00493ADA"/>
    <w:rsid w:val="004946BE"/>
    <w:rsid w:val="00494F72"/>
    <w:rsid w:val="004952EB"/>
    <w:rsid w:val="00496035"/>
    <w:rsid w:val="00496162"/>
    <w:rsid w:val="004969E0"/>
    <w:rsid w:val="004A125D"/>
    <w:rsid w:val="004A21C2"/>
    <w:rsid w:val="004A25FD"/>
    <w:rsid w:val="004A6809"/>
    <w:rsid w:val="004A6F38"/>
    <w:rsid w:val="004B0727"/>
    <w:rsid w:val="004B5269"/>
    <w:rsid w:val="004C471E"/>
    <w:rsid w:val="004C5B4B"/>
    <w:rsid w:val="004C6454"/>
    <w:rsid w:val="004D29CE"/>
    <w:rsid w:val="004D29D4"/>
    <w:rsid w:val="004D51DB"/>
    <w:rsid w:val="004D5329"/>
    <w:rsid w:val="004D5344"/>
    <w:rsid w:val="004D5B1A"/>
    <w:rsid w:val="004D71C5"/>
    <w:rsid w:val="004E301F"/>
    <w:rsid w:val="004E390C"/>
    <w:rsid w:val="004E4201"/>
    <w:rsid w:val="004E52EC"/>
    <w:rsid w:val="004E5B75"/>
    <w:rsid w:val="004E6A4F"/>
    <w:rsid w:val="004F169C"/>
    <w:rsid w:val="004F2FC9"/>
    <w:rsid w:val="004F6CA7"/>
    <w:rsid w:val="004F7677"/>
    <w:rsid w:val="004F7D1E"/>
    <w:rsid w:val="005021C4"/>
    <w:rsid w:val="005035AC"/>
    <w:rsid w:val="00503875"/>
    <w:rsid w:val="00503B17"/>
    <w:rsid w:val="0050461D"/>
    <w:rsid w:val="00506081"/>
    <w:rsid w:val="00506639"/>
    <w:rsid w:val="005110AE"/>
    <w:rsid w:val="00511E8C"/>
    <w:rsid w:val="00512D3D"/>
    <w:rsid w:val="005130AA"/>
    <w:rsid w:val="005137E7"/>
    <w:rsid w:val="00514817"/>
    <w:rsid w:val="00514D4B"/>
    <w:rsid w:val="0051568B"/>
    <w:rsid w:val="00516FBD"/>
    <w:rsid w:val="00517EEF"/>
    <w:rsid w:val="00520853"/>
    <w:rsid w:val="00520F26"/>
    <w:rsid w:val="00522588"/>
    <w:rsid w:val="005238A0"/>
    <w:rsid w:val="00524876"/>
    <w:rsid w:val="00524F43"/>
    <w:rsid w:val="00525787"/>
    <w:rsid w:val="005274AA"/>
    <w:rsid w:val="00527BBB"/>
    <w:rsid w:val="00527C49"/>
    <w:rsid w:val="00532ACA"/>
    <w:rsid w:val="005341C8"/>
    <w:rsid w:val="00536711"/>
    <w:rsid w:val="00541CCA"/>
    <w:rsid w:val="00543E04"/>
    <w:rsid w:val="00545594"/>
    <w:rsid w:val="00551A00"/>
    <w:rsid w:val="005536DB"/>
    <w:rsid w:val="00554D2D"/>
    <w:rsid w:val="00554E60"/>
    <w:rsid w:val="005572D7"/>
    <w:rsid w:val="00557A65"/>
    <w:rsid w:val="00557C55"/>
    <w:rsid w:val="00560B40"/>
    <w:rsid w:val="00563092"/>
    <w:rsid w:val="00563108"/>
    <w:rsid w:val="00567A1B"/>
    <w:rsid w:val="005745D3"/>
    <w:rsid w:val="005756B9"/>
    <w:rsid w:val="005778FA"/>
    <w:rsid w:val="00580D94"/>
    <w:rsid w:val="00582BF7"/>
    <w:rsid w:val="00586E06"/>
    <w:rsid w:val="00587024"/>
    <w:rsid w:val="00590D81"/>
    <w:rsid w:val="00591FA8"/>
    <w:rsid w:val="00593ABA"/>
    <w:rsid w:val="00596ADE"/>
    <w:rsid w:val="00597680"/>
    <w:rsid w:val="005A10B1"/>
    <w:rsid w:val="005A7311"/>
    <w:rsid w:val="005A7EFE"/>
    <w:rsid w:val="005B335D"/>
    <w:rsid w:val="005B6BF7"/>
    <w:rsid w:val="005C3277"/>
    <w:rsid w:val="005C537F"/>
    <w:rsid w:val="005C53B3"/>
    <w:rsid w:val="005C6968"/>
    <w:rsid w:val="005C7AFC"/>
    <w:rsid w:val="005D0418"/>
    <w:rsid w:val="005D13E1"/>
    <w:rsid w:val="005D25DE"/>
    <w:rsid w:val="005D31F7"/>
    <w:rsid w:val="005D5AF0"/>
    <w:rsid w:val="005E19B2"/>
    <w:rsid w:val="005E3DCF"/>
    <w:rsid w:val="005E44A1"/>
    <w:rsid w:val="005E47F8"/>
    <w:rsid w:val="005E5147"/>
    <w:rsid w:val="005E5D27"/>
    <w:rsid w:val="005F111F"/>
    <w:rsid w:val="005F2329"/>
    <w:rsid w:val="005F2676"/>
    <w:rsid w:val="005F2E51"/>
    <w:rsid w:val="005F33AD"/>
    <w:rsid w:val="005F4792"/>
    <w:rsid w:val="005F4974"/>
    <w:rsid w:val="00602145"/>
    <w:rsid w:val="00602376"/>
    <w:rsid w:val="0060351C"/>
    <w:rsid w:val="006056D1"/>
    <w:rsid w:val="00606BC1"/>
    <w:rsid w:val="00610F4C"/>
    <w:rsid w:val="00613D78"/>
    <w:rsid w:val="00614AB4"/>
    <w:rsid w:val="0061622B"/>
    <w:rsid w:val="00616429"/>
    <w:rsid w:val="006202C0"/>
    <w:rsid w:val="006205BE"/>
    <w:rsid w:val="00620ACB"/>
    <w:rsid w:val="00620F4E"/>
    <w:rsid w:val="00621155"/>
    <w:rsid w:val="0062575E"/>
    <w:rsid w:val="0062605D"/>
    <w:rsid w:val="00626B58"/>
    <w:rsid w:val="00630359"/>
    <w:rsid w:val="00632BEA"/>
    <w:rsid w:val="00632EB4"/>
    <w:rsid w:val="0063415E"/>
    <w:rsid w:val="00634DFF"/>
    <w:rsid w:val="006405B6"/>
    <w:rsid w:val="00640E25"/>
    <w:rsid w:val="00641F37"/>
    <w:rsid w:val="00642AF1"/>
    <w:rsid w:val="00643AEE"/>
    <w:rsid w:val="00643D4C"/>
    <w:rsid w:val="006443FF"/>
    <w:rsid w:val="00646E73"/>
    <w:rsid w:val="00650479"/>
    <w:rsid w:val="006506F8"/>
    <w:rsid w:val="006519A2"/>
    <w:rsid w:val="00655D12"/>
    <w:rsid w:val="00656887"/>
    <w:rsid w:val="006569CD"/>
    <w:rsid w:val="00660493"/>
    <w:rsid w:val="00661833"/>
    <w:rsid w:val="00662FF4"/>
    <w:rsid w:val="0066457B"/>
    <w:rsid w:val="00664647"/>
    <w:rsid w:val="006661AB"/>
    <w:rsid w:val="00666439"/>
    <w:rsid w:val="006667C2"/>
    <w:rsid w:val="0066729B"/>
    <w:rsid w:val="00675F77"/>
    <w:rsid w:val="0067778C"/>
    <w:rsid w:val="00681998"/>
    <w:rsid w:val="00681E91"/>
    <w:rsid w:val="00682671"/>
    <w:rsid w:val="0068481A"/>
    <w:rsid w:val="00686DAB"/>
    <w:rsid w:val="00690101"/>
    <w:rsid w:val="0069104E"/>
    <w:rsid w:val="0069199D"/>
    <w:rsid w:val="00692442"/>
    <w:rsid w:val="00693F2D"/>
    <w:rsid w:val="006940D4"/>
    <w:rsid w:val="0069547B"/>
    <w:rsid w:val="0069630A"/>
    <w:rsid w:val="006A0B0B"/>
    <w:rsid w:val="006A1FA4"/>
    <w:rsid w:val="006A72E5"/>
    <w:rsid w:val="006B02C1"/>
    <w:rsid w:val="006B077F"/>
    <w:rsid w:val="006B117F"/>
    <w:rsid w:val="006B118E"/>
    <w:rsid w:val="006B264B"/>
    <w:rsid w:val="006B3A96"/>
    <w:rsid w:val="006B3C37"/>
    <w:rsid w:val="006C12E6"/>
    <w:rsid w:val="006C45AF"/>
    <w:rsid w:val="006C49C9"/>
    <w:rsid w:val="006C5C8F"/>
    <w:rsid w:val="006C6596"/>
    <w:rsid w:val="006C6602"/>
    <w:rsid w:val="006C6FC4"/>
    <w:rsid w:val="006D06D0"/>
    <w:rsid w:val="006D212E"/>
    <w:rsid w:val="006D28ED"/>
    <w:rsid w:val="006D3B6D"/>
    <w:rsid w:val="006D42A7"/>
    <w:rsid w:val="006D4D50"/>
    <w:rsid w:val="006D5C8A"/>
    <w:rsid w:val="006D72F7"/>
    <w:rsid w:val="006D7DA5"/>
    <w:rsid w:val="006D7E6A"/>
    <w:rsid w:val="006E3D99"/>
    <w:rsid w:val="006E474C"/>
    <w:rsid w:val="006E5426"/>
    <w:rsid w:val="006E6210"/>
    <w:rsid w:val="006F0197"/>
    <w:rsid w:val="006F19B4"/>
    <w:rsid w:val="006F65B6"/>
    <w:rsid w:val="006F6B3B"/>
    <w:rsid w:val="00700126"/>
    <w:rsid w:val="007010AA"/>
    <w:rsid w:val="00702486"/>
    <w:rsid w:val="00703DFC"/>
    <w:rsid w:val="007046F3"/>
    <w:rsid w:val="0070592A"/>
    <w:rsid w:val="0070599D"/>
    <w:rsid w:val="0070653C"/>
    <w:rsid w:val="00707190"/>
    <w:rsid w:val="007077BA"/>
    <w:rsid w:val="00710A58"/>
    <w:rsid w:val="0071441B"/>
    <w:rsid w:val="00715E7A"/>
    <w:rsid w:val="00716E8C"/>
    <w:rsid w:val="00720283"/>
    <w:rsid w:val="00720A15"/>
    <w:rsid w:val="007278B8"/>
    <w:rsid w:val="007309D3"/>
    <w:rsid w:val="00733BB9"/>
    <w:rsid w:val="00733F8C"/>
    <w:rsid w:val="007421FA"/>
    <w:rsid w:val="007431B2"/>
    <w:rsid w:val="007442ED"/>
    <w:rsid w:val="00746AE6"/>
    <w:rsid w:val="00747139"/>
    <w:rsid w:val="007522F9"/>
    <w:rsid w:val="00754541"/>
    <w:rsid w:val="007615D8"/>
    <w:rsid w:val="007647E4"/>
    <w:rsid w:val="00766002"/>
    <w:rsid w:val="007666A5"/>
    <w:rsid w:val="00770204"/>
    <w:rsid w:val="00770645"/>
    <w:rsid w:val="00771EB0"/>
    <w:rsid w:val="00780190"/>
    <w:rsid w:val="00781219"/>
    <w:rsid w:val="00781EFA"/>
    <w:rsid w:val="00783C2E"/>
    <w:rsid w:val="00784A24"/>
    <w:rsid w:val="00784C1B"/>
    <w:rsid w:val="00787B20"/>
    <w:rsid w:val="007942B4"/>
    <w:rsid w:val="00795678"/>
    <w:rsid w:val="00796CA4"/>
    <w:rsid w:val="007A133C"/>
    <w:rsid w:val="007A2DEB"/>
    <w:rsid w:val="007A4236"/>
    <w:rsid w:val="007A432B"/>
    <w:rsid w:val="007A5B9B"/>
    <w:rsid w:val="007A5C10"/>
    <w:rsid w:val="007A6E7B"/>
    <w:rsid w:val="007A73B4"/>
    <w:rsid w:val="007A75CE"/>
    <w:rsid w:val="007B19CC"/>
    <w:rsid w:val="007B376F"/>
    <w:rsid w:val="007B3FC8"/>
    <w:rsid w:val="007B4631"/>
    <w:rsid w:val="007B6623"/>
    <w:rsid w:val="007B7B33"/>
    <w:rsid w:val="007C13FE"/>
    <w:rsid w:val="007C5CF8"/>
    <w:rsid w:val="007C681E"/>
    <w:rsid w:val="007C7EC8"/>
    <w:rsid w:val="007D2EA0"/>
    <w:rsid w:val="007E12A2"/>
    <w:rsid w:val="007E49F5"/>
    <w:rsid w:val="007E558C"/>
    <w:rsid w:val="007E578F"/>
    <w:rsid w:val="007E5ED6"/>
    <w:rsid w:val="007F5943"/>
    <w:rsid w:val="007F6246"/>
    <w:rsid w:val="007F7CBA"/>
    <w:rsid w:val="0080087B"/>
    <w:rsid w:val="008019E9"/>
    <w:rsid w:val="008043F3"/>
    <w:rsid w:val="0080614B"/>
    <w:rsid w:val="00806624"/>
    <w:rsid w:val="008110D5"/>
    <w:rsid w:val="00814E4A"/>
    <w:rsid w:val="00817315"/>
    <w:rsid w:val="00817550"/>
    <w:rsid w:val="0082384C"/>
    <w:rsid w:val="00826459"/>
    <w:rsid w:val="00830626"/>
    <w:rsid w:val="008331F0"/>
    <w:rsid w:val="00835333"/>
    <w:rsid w:val="00835ED4"/>
    <w:rsid w:val="0083624A"/>
    <w:rsid w:val="00852D62"/>
    <w:rsid w:val="00855C99"/>
    <w:rsid w:val="008569B0"/>
    <w:rsid w:val="00857585"/>
    <w:rsid w:val="0085799A"/>
    <w:rsid w:val="00860A9A"/>
    <w:rsid w:val="00861520"/>
    <w:rsid w:val="00863139"/>
    <w:rsid w:val="00867334"/>
    <w:rsid w:val="008713CF"/>
    <w:rsid w:val="008730C9"/>
    <w:rsid w:val="00873972"/>
    <w:rsid w:val="00874665"/>
    <w:rsid w:val="00875CA8"/>
    <w:rsid w:val="0088042F"/>
    <w:rsid w:val="00880B9E"/>
    <w:rsid w:val="00882B57"/>
    <w:rsid w:val="00882C72"/>
    <w:rsid w:val="00883828"/>
    <w:rsid w:val="00883BD6"/>
    <w:rsid w:val="00885F1C"/>
    <w:rsid w:val="008871CC"/>
    <w:rsid w:val="00887400"/>
    <w:rsid w:val="008878B0"/>
    <w:rsid w:val="00890AC4"/>
    <w:rsid w:val="00890FFD"/>
    <w:rsid w:val="0089644D"/>
    <w:rsid w:val="00897DA9"/>
    <w:rsid w:val="008A095F"/>
    <w:rsid w:val="008A263B"/>
    <w:rsid w:val="008A5C5C"/>
    <w:rsid w:val="008A6D46"/>
    <w:rsid w:val="008B50AC"/>
    <w:rsid w:val="008B6A07"/>
    <w:rsid w:val="008C2401"/>
    <w:rsid w:val="008C2EE1"/>
    <w:rsid w:val="008C3868"/>
    <w:rsid w:val="008C5467"/>
    <w:rsid w:val="008C7D14"/>
    <w:rsid w:val="008D1343"/>
    <w:rsid w:val="008D15FC"/>
    <w:rsid w:val="008D5569"/>
    <w:rsid w:val="008E11DE"/>
    <w:rsid w:val="008E21DE"/>
    <w:rsid w:val="008E5D9A"/>
    <w:rsid w:val="008E618D"/>
    <w:rsid w:val="008F36AA"/>
    <w:rsid w:val="008F39D9"/>
    <w:rsid w:val="008F4F34"/>
    <w:rsid w:val="008F54E2"/>
    <w:rsid w:val="008F671A"/>
    <w:rsid w:val="008F7017"/>
    <w:rsid w:val="009005D4"/>
    <w:rsid w:val="00900CB3"/>
    <w:rsid w:val="00901D04"/>
    <w:rsid w:val="0090565B"/>
    <w:rsid w:val="00906A14"/>
    <w:rsid w:val="00907707"/>
    <w:rsid w:val="00907A75"/>
    <w:rsid w:val="00913E05"/>
    <w:rsid w:val="009208F0"/>
    <w:rsid w:val="009213E9"/>
    <w:rsid w:val="00921412"/>
    <w:rsid w:val="00921434"/>
    <w:rsid w:val="009222A3"/>
    <w:rsid w:val="0092257A"/>
    <w:rsid w:val="00924021"/>
    <w:rsid w:val="009257B2"/>
    <w:rsid w:val="00925823"/>
    <w:rsid w:val="00925A4A"/>
    <w:rsid w:val="0093060D"/>
    <w:rsid w:val="00931C98"/>
    <w:rsid w:val="00931D82"/>
    <w:rsid w:val="00932E14"/>
    <w:rsid w:val="009331E5"/>
    <w:rsid w:val="009343CE"/>
    <w:rsid w:val="00935E8F"/>
    <w:rsid w:val="0093612B"/>
    <w:rsid w:val="00936451"/>
    <w:rsid w:val="00937FFC"/>
    <w:rsid w:val="00943382"/>
    <w:rsid w:val="00943C18"/>
    <w:rsid w:val="0094513F"/>
    <w:rsid w:val="00945585"/>
    <w:rsid w:val="009457F8"/>
    <w:rsid w:val="009478E8"/>
    <w:rsid w:val="00951257"/>
    <w:rsid w:val="00952D52"/>
    <w:rsid w:val="00957D3C"/>
    <w:rsid w:val="00960679"/>
    <w:rsid w:val="00960A8D"/>
    <w:rsid w:val="009628EA"/>
    <w:rsid w:val="00962DF2"/>
    <w:rsid w:val="00963522"/>
    <w:rsid w:val="00963AD7"/>
    <w:rsid w:val="00964D86"/>
    <w:rsid w:val="00965DF9"/>
    <w:rsid w:val="00971D95"/>
    <w:rsid w:val="009723A9"/>
    <w:rsid w:val="009732F3"/>
    <w:rsid w:val="0097452A"/>
    <w:rsid w:val="00975554"/>
    <w:rsid w:val="009763B1"/>
    <w:rsid w:val="00980D81"/>
    <w:rsid w:val="00981DC4"/>
    <w:rsid w:val="0098510A"/>
    <w:rsid w:val="009854A9"/>
    <w:rsid w:val="009855D0"/>
    <w:rsid w:val="009861FC"/>
    <w:rsid w:val="009866FA"/>
    <w:rsid w:val="00987AEF"/>
    <w:rsid w:val="00990168"/>
    <w:rsid w:val="00990539"/>
    <w:rsid w:val="00995736"/>
    <w:rsid w:val="00995D66"/>
    <w:rsid w:val="00996DA9"/>
    <w:rsid w:val="009A045C"/>
    <w:rsid w:val="009A1F1F"/>
    <w:rsid w:val="009A44FE"/>
    <w:rsid w:val="009A4921"/>
    <w:rsid w:val="009A5DE8"/>
    <w:rsid w:val="009B077D"/>
    <w:rsid w:val="009B0A9A"/>
    <w:rsid w:val="009B3206"/>
    <w:rsid w:val="009B3370"/>
    <w:rsid w:val="009B34EA"/>
    <w:rsid w:val="009B3D1E"/>
    <w:rsid w:val="009B4465"/>
    <w:rsid w:val="009B6ABF"/>
    <w:rsid w:val="009B7746"/>
    <w:rsid w:val="009C0B9A"/>
    <w:rsid w:val="009C11CC"/>
    <w:rsid w:val="009C38EB"/>
    <w:rsid w:val="009C3DF3"/>
    <w:rsid w:val="009C4E58"/>
    <w:rsid w:val="009C7BB9"/>
    <w:rsid w:val="009C7FC1"/>
    <w:rsid w:val="009D1A10"/>
    <w:rsid w:val="009D2FEF"/>
    <w:rsid w:val="009D3D6F"/>
    <w:rsid w:val="009D4D68"/>
    <w:rsid w:val="009D4F70"/>
    <w:rsid w:val="009D59D3"/>
    <w:rsid w:val="009D61C4"/>
    <w:rsid w:val="009E05B3"/>
    <w:rsid w:val="009E1014"/>
    <w:rsid w:val="009E17D9"/>
    <w:rsid w:val="009E1A7F"/>
    <w:rsid w:val="009E2E7E"/>
    <w:rsid w:val="009E2EAA"/>
    <w:rsid w:val="009E3D48"/>
    <w:rsid w:val="009E4FEF"/>
    <w:rsid w:val="009E5AC7"/>
    <w:rsid w:val="009E5BDB"/>
    <w:rsid w:val="009E6D7C"/>
    <w:rsid w:val="009E7327"/>
    <w:rsid w:val="009E7770"/>
    <w:rsid w:val="009E7A19"/>
    <w:rsid w:val="009F001F"/>
    <w:rsid w:val="009F32C3"/>
    <w:rsid w:val="009F3DD9"/>
    <w:rsid w:val="009F4900"/>
    <w:rsid w:val="009F5879"/>
    <w:rsid w:val="009F5C10"/>
    <w:rsid w:val="009F60B7"/>
    <w:rsid w:val="009F7145"/>
    <w:rsid w:val="009F7DB7"/>
    <w:rsid w:val="00A01216"/>
    <w:rsid w:val="00A01C67"/>
    <w:rsid w:val="00A02018"/>
    <w:rsid w:val="00A07537"/>
    <w:rsid w:val="00A07B48"/>
    <w:rsid w:val="00A111AD"/>
    <w:rsid w:val="00A11640"/>
    <w:rsid w:val="00A13C78"/>
    <w:rsid w:val="00A160B7"/>
    <w:rsid w:val="00A16C6E"/>
    <w:rsid w:val="00A215DA"/>
    <w:rsid w:val="00A216F1"/>
    <w:rsid w:val="00A2238C"/>
    <w:rsid w:val="00A22842"/>
    <w:rsid w:val="00A25330"/>
    <w:rsid w:val="00A25621"/>
    <w:rsid w:val="00A279BF"/>
    <w:rsid w:val="00A3280F"/>
    <w:rsid w:val="00A3669B"/>
    <w:rsid w:val="00A37360"/>
    <w:rsid w:val="00A37772"/>
    <w:rsid w:val="00A40138"/>
    <w:rsid w:val="00A40675"/>
    <w:rsid w:val="00A41680"/>
    <w:rsid w:val="00A41A2D"/>
    <w:rsid w:val="00A46814"/>
    <w:rsid w:val="00A500B3"/>
    <w:rsid w:val="00A51580"/>
    <w:rsid w:val="00A516EE"/>
    <w:rsid w:val="00A518A9"/>
    <w:rsid w:val="00A525C3"/>
    <w:rsid w:val="00A5317D"/>
    <w:rsid w:val="00A61C65"/>
    <w:rsid w:val="00A61CEA"/>
    <w:rsid w:val="00A63C77"/>
    <w:rsid w:val="00A647F8"/>
    <w:rsid w:val="00A650D8"/>
    <w:rsid w:val="00A660B4"/>
    <w:rsid w:val="00A67E20"/>
    <w:rsid w:val="00A67EEC"/>
    <w:rsid w:val="00A70779"/>
    <w:rsid w:val="00A73219"/>
    <w:rsid w:val="00A750DC"/>
    <w:rsid w:val="00A7534B"/>
    <w:rsid w:val="00A76DED"/>
    <w:rsid w:val="00A80165"/>
    <w:rsid w:val="00A81738"/>
    <w:rsid w:val="00A82061"/>
    <w:rsid w:val="00A835EE"/>
    <w:rsid w:val="00A83891"/>
    <w:rsid w:val="00A9079D"/>
    <w:rsid w:val="00A94151"/>
    <w:rsid w:val="00A95047"/>
    <w:rsid w:val="00A95FB8"/>
    <w:rsid w:val="00AA1966"/>
    <w:rsid w:val="00AA1A3C"/>
    <w:rsid w:val="00AA2AB2"/>
    <w:rsid w:val="00AA5411"/>
    <w:rsid w:val="00AA7560"/>
    <w:rsid w:val="00AA7A3D"/>
    <w:rsid w:val="00AB0157"/>
    <w:rsid w:val="00AB07DE"/>
    <w:rsid w:val="00AB27CC"/>
    <w:rsid w:val="00AB4110"/>
    <w:rsid w:val="00AB640F"/>
    <w:rsid w:val="00AB7BEE"/>
    <w:rsid w:val="00AC2C1A"/>
    <w:rsid w:val="00AC76A5"/>
    <w:rsid w:val="00AD08E6"/>
    <w:rsid w:val="00AD59B5"/>
    <w:rsid w:val="00AD5EC5"/>
    <w:rsid w:val="00AD7421"/>
    <w:rsid w:val="00AD7BF1"/>
    <w:rsid w:val="00AE4A62"/>
    <w:rsid w:val="00AE6130"/>
    <w:rsid w:val="00AE701B"/>
    <w:rsid w:val="00AE7D58"/>
    <w:rsid w:val="00AF0515"/>
    <w:rsid w:val="00AF0E8C"/>
    <w:rsid w:val="00AF184C"/>
    <w:rsid w:val="00AF5BDE"/>
    <w:rsid w:val="00AF7741"/>
    <w:rsid w:val="00B0138B"/>
    <w:rsid w:val="00B01B6B"/>
    <w:rsid w:val="00B020B8"/>
    <w:rsid w:val="00B02350"/>
    <w:rsid w:val="00B04AAF"/>
    <w:rsid w:val="00B04CEF"/>
    <w:rsid w:val="00B06B1D"/>
    <w:rsid w:val="00B147EC"/>
    <w:rsid w:val="00B176DD"/>
    <w:rsid w:val="00B20423"/>
    <w:rsid w:val="00B25704"/>
    <w:rsid w:val="00B27D69"/>
    <w:rsid w:val="00B33BFE"/>
    <w:rsid w:val="00B36B6E"/>
    <w:rsid w:val="00B36B7E"/>
    <w:rsid w:val="00B378AF"/>
    <w:rsid w:val="00B41CB3"/>
    <w:rsid w:val="00B421C7"/>
    <w:rsid w:val="00B4412E"/>
    <w:rsid w:val="00B4467E"/>
    <w:rsid w:val="00B44770"/>
    <w:rsid w:val="00B44E51"/>
    <w:rsid w:val="00B458C0"/>
    <w:rsid w:val="00B46924"/>
    <w:rsid w:val="00B47ED7"/>
    <w:rsid w:val="00B52BB3"/>
    <w:rsid w:val="00B5343B"/>
    <w:rsid w:val="00B56723"/>
    <w:rsid w:val="00B576EF"/>
    <w:rsid w:val="00B61D08"/>
    <w:rsid w:val="00B62F09"/>
    <w:rsid w:val="00B63A70"/>
    <w:rsid w:val="00B64371"/>
    <w:rsid w:val="00B66CC6"/>
    <w:rsid w:val="00B71B75"/>
    <w:rsid w:val="00B71E77"/>
    <w:rsid w:val="00B74B6A"/>
    <w:rsid w:val="00B74E51"/>
    <w:rsid w:val="00B75014"/>
    <w:rsid w:val="00B75953"/>
    <w:rsid w:val="00B76D8D"/>
    <w:rsid w:val="00B81A82"/>
    <w:rsid w:val="00B83104"/>
    <w:rsid w:val="00B83776"/>
    <w:rsid w:val="00B8669C"/>
    <w:rsid w:val="00B9112F"/>
    <w:rsid w:val="00B920D0"/>
    <w:rsid w:val="00B933C5"/>
    <w:rsid w:val="00B93AAB"/>
    <w:rsid w:val="00B94955"/>
    <w:rsid w:val="00B9595B"/>
    <w:rsid w:val="00B969DE"/>
    <w:rsid w:val="00B96C07"/>
    <w:rsid w:val="00B96C6A"/>
    <w:rsid w:val="00B9731C"/>
    <w:rsid w:val="00B9756D"/>
    <w:rsid w:val="00BA3A56"/>
    <w:rsid w:val="00BA4F73"/>
    <w:rsid w:val="00BA5CF7"/>
    <w:rsid w:val="00BB0C96"/>
    <w:rsid w:val="00BB14B6"/>
    <w:rsid w:val="00BB21DD"/>
    <w:rsid w:val="00BB2EDB"/>
    <w:rsid w:val="00BB5927"/>
    <w:rsid w:val="00BC0C2F"/>
    <w:rsid w:val="00BC19AE"/>
    <w:rsid w:val="00BC6C0D"/>
    <w:rsid w:val="00BC73AA"/>
    <w:rsid w:val="00BD0D46"/>
    <w:rsid w:val="00BD1A4C"/>
    <w:rsid w:val="00BD25B7"/>
    <w:rsid w:val="00BD2AC2"/>
    <w:rsid w:val="00BD449E"/>
    <w:rsid w:val="00BD4BD6"/>
    <w:rsid w:val="00BD5F0A"/>
    <w:rsid w:val="00BD6AA9"/>
    <w:rsid w:val="00BD7D67"/>
    <w:rsid w:val="00BE06AD"/>
    <w:rsid w:val="00BE455C"/>
    <w:rsid w:val="00BE5BD8"/>
    <w:rsid w:val="00BE5D5C"/>
    <w:rsid w:val="00BE75C4"/>
    <w:rsid w:val="00BF158F"/>
    <w:rsid w:val="00BF47B4"/>
    <w:rsid w:val="00BF5C4B"/>
    <w:rsid w:val="00BF6A63"/>
    <w:rsid w:val="00BF7D65"/>
    <w:rsid w:val="00BF7F21"/>
    <w:rsid w:val="00C01E5F"/>
    <w:rsid w:val="00C02D91"/>
    <w:rsid w:val="00C037EF"/>
    <w:rsid w:val="00C039DA"/>
    <w:rsid w:val="00C06175"/>
    <w:rsid w:val="00C06BAC"/>
    <w:rsid w:val="00C0768E"/>
    <w:rsid w:val="00C12A75"/>
    <w:rsid w:val="00C144FD"/>
    <w:rsid w:val="00C16EF2"/>
    <w:rsid w:val="00C17C43"/>
    <w:rsid w:val="00C20203"/>
    <w:rsid w:val="00C20256"/>
    <w:rsid w:val="00C24333"/>
    <w:rsid w:val="00C24567"/>
    <w:rsid w:val="00C24AD2"/>
    <w:rsid w:val="00C24DA0"/>
    <w:rsid w:val="00C252D5"/>
    <w:rsid w:val="00C254EC"/>
    <w:rsid w:val="00C27882"/>
    <w:rsid w:val="00C30C59"/>
    <w:rsid w:val="00C33A26"/>
    <w:rsid w:val="00C34F4E"/>
    <w:rsid w:val="00C353FC"/>
    <w:rsid w:val="00C35804"/>
    <w:rsid w:val="00C368EB"/>
    <w:rsid w:val="00C4125B"/>
    <w:rsid w:val="00C44680"/>
    <w:rsid w:val="00C44694"/>
    <w:rsid w:val="00C547A9"/>
    <w:rsid w:val="00C575F7"/>
    <w:rsid w:val="00C608C9"/>
    <w:rsid w:val="00C61ACE"/>
    <w:rsid w:val="00C64B16"/>
    <w:rsid w:val="00C7172D"/>
    <w:rsid w:val="00C7265A"/>
    <w:rsid w:val="00C72AAC"/>
    <w:rsid w:val="00C73CD6"/>
    <w:rsid w:val="00C740F5"/>
    <w:rsid w:val="00C746CB"/>
    <w:rsid w:val="00C74ADC"/>
    <w:rsid w:val="00C76ABD"/>
    <w:rsid w:val="00C773D1"/>
    <w:rsid w:val="00C8136F"/>
    <w:rsid w:val="00C81B59"/>
    <w:rsid w:val="00C83A64"/>
    <w:rsid w:val="00C83B04"/>
    <w:rsid w:val="00C85E8F"/>
    <w:rsid w:val="00C85F12"/>
    <w:rsid w:val="00C9079C"/>
    <w:rsid w:val="00C9243D"/>
    <w:rsid w:val="00C951FB"/>
    <w:rsid w:val="00C95A6F"/>
    <w:rsid w:val="00C96BDF"/>
    <w:rsid w:val="00C96C93"/>
    <w:rsid w:val="00C97AC5"/>
    <w:rsid w:val="00CA1C25"/>
    <w:rsid w:val="00CA2DD3"/>
    <w:rsid w:val="00CA4EC6"/>
    <w:rsid w:val="00CA5927"/>
    <w:rsid w:val="00CB2E37"/>
    <w:rsid w:val="00CB3329"/>
    <w:rsid w:val="00CB5599"/>
    <w:rsid w:val="00CB5E96"/>
    <w:rsid w:val="00CB6D3D"/>
    <w:rsid w:val="00CB7262"/>
    <w:rsid w:val="00CB779B"/>
    <w:rsid w:val="00CC3027"/>
    <w:rsid w:val="00CC6398"/>
    <w:rsid w:val="00CD0F7C"/>
    <w:rsid w:val="00CD1218"/>
    <w:rsid w:val="00CD42A7"/>
    <w:rsid w:val="00CD4893"/>
    <w:rsid w:val="00CE0761"/>
    <w:rsid w:val="00CE0F85"/>
    <w:rsid w:val="00CE3B73"/>
    <w:rsid w:val="00CE58DE"/>
    <w:rsid w:val="00CE6E31"/>
    <w:rsid w:val="00CE717A"/>
    <w:rsid w:val="00CE7B8B"/>
    <w:rsid w:val="00CE7D20"/>
    <w:rsid w:val="00CF025C"/>
    <w:rsid w:val="00CF0DC6"/>
    <w:rsid w:val="00CF2484"/>
    <w:rsid w:val="00CF2F0D"/>
    <w:rsid w:val="00CF4B48"/>
    <w:rsid w:val="00CF7220"/>
    <w:rsid w:val="00D012C7"/>
    <w:rsid w:val="00D03808"/>
    <w:rsid w:val="00D03DF9"/>
    <w:rsid w:val="00D0519E"/>
    <w:rsid w:val="00D05B51"/>
    <w:rsid w:val="00D06EEA"/>
    <w:rsid w:val="00D07F51"/>
    <w:rsid w:val="00D1189A"/>
    <w:rsid w:val="00D118AE"/>
    <w:rsid w:val="00D11FDB"/>
    <w:rsid w:val="00D12CA1"/>
    <w:rsid w:val="00D15DF4"/>
    <w:rsid w:val="00D171FE"/>
    <w:rsid w:val="00D1763E"/>
    <w:rsid w:val="00D17723"/>
    <w:rsid w:val="00D17DB5"/>
    <w:rsid w:val="00D214D6"/>
    <w:rsid w:val="00D2162E"/>
    <w:rsid w:val="00D23D77"/>
    <w:rsid w:val="00D23F45"/>
    <w:rsid w:val="00D23F95"/>
    <w:rsid w:val="00D249EF"/>
    <w:rsid w:val="00D30676"/>
    <w:rsid w:val="00D310D6"/>
    <w:rsid w:val="00D31859"/>
    <w:rsid w:val="00D34746"/>
    <w:rsid w:val="00D37EB3"/>
    <w:rsid w:val="00D43BAF"/>
    <w:rsid w:val="00D45576"/>
    <w:rsid w:val="00D46302"/>
    <w:rsid w:val="00D46A8D"/>
    <w:rsid w:val="00D46E0D"/>
    <w:rsid w:val="00D517D1"/>
    <w:rsid w:val="00D528FF"/>
    <w:rsid w:val="00D55710"/>
    <w:rsid w:val="00D6044C"/>
    <w:rsid w:val="00D62AC1"/>
    <w:rsid w:val="00D62ED4"/>
    <w:rsid w:val="00D6335A"/>
    <w:rsid w:val="00D71EE4"/>
    <w:rsid w:val="00D75334"/>
    <w:rsid w:val="00D77F94"/>
    <w:rsid w:val="00D807E9"/>
    <w:rsid w:val="00D82D5E"/>
    <w:rsid w:val="00D84433"/>
    <w:rsid w:val="00D87357"/>
    <w:rsid w:val="00D91679"/>
    <w:rsid w:val="00D92DE8"/>
    <w:rsid w:val="00D9392B"/>
    <w:rsid w:val="00D9394A"/>
    <w:rsid w:val="00D949A4"/>
    <w:rsid w:val="00DA0743"/>
    <w:rsid w:val="00DA1FB0"/>
    <w:rsid w:val="00DA365B"/>
    <w:rsid w:val="00DA5273"/>
    <w:rsid w:val="00DA6E0F"/>
    <w:rsid w:val="00DB1A7F"/>
    <w:rsid w:val="00DB4EF2"/>
    <w:rsid w:val="00DC0E5E"/>
    <w:rsid w:val="00DC6094"/>
    <w:rsid w:val="00DC6843"/>
    <w:rsid w:val="00DC7C15"/>
    <w:rsid w:val="00DC7CDE"/>
    <w:rsid w:val="00DC7E6E"/>
    <w:rsid w:val="00DD1960"/>
    <w:rsid w:val="00DD2074"/>
    <w:rsid w:val="00DD34CB"/>
    <w:rsid w:val="00DD41D4"/>
    <w:rsid w:val="00DD4C92"/>
    <w:rsid w:val="00DD6E1B"/>
    <w:rsid w:val="00DE0A8F"/>
    <w:rsid w:val="00DE132E"/>
    <w:rsid w:val="00DE198C"/>
    <w:rsid w:val="00DE25D8"/>
    <w:rsid w:val="00DE3C98"/>
    <w:rsid w:val="00DE5349"/>
    <w:rsid w:val="00DF36EC"/>
    <w:rsid w:val="00DF3B93"/>
    <w:rsid w:val="00DF5206"/>
    <w:rsid w:val="00DF63F4"/>
    <w:rsid w:val="00E00FC3"/>
    <w:rsid w:val="00E02A10"/>
    <w:rsid w:val="00E02A65"/>
    <w:rsid w:val="00E02F43"/>
    <w:rsid w:val="00E04106"/>
    <w:rsid w:val="00E1039D"/>
    <w:rsid w:val="00E11C17"/>
    <w:rsid w:val="00E11C5A"/>
    <w:rsid w:val="00E120AD"/>
    <w:rsid w:val="00E12FB0"/>
    <w:rsid w:val="00E14FA8"/>
    <w:rsid w:val="00E15EE0"/>
    <w:rsid w:val="00E162CC"/>
    <w:rsid w:val="00E215ED"/>
    <w:rsid w:val="00E23BD5"/>
    <w:rsid w:val="00E23D62"/>
    <w:rsid w:val="00E24DAC"/>
    <w:rsid w:val="00E2537D"/>
    <w:rsid w:val="00E279ED"/>
    <w:rsid w:val="00E30844"/>
    <w:rsid w:val="00E31951"/>
    <w:rsid w:val="00E3299C"/>
    <w:rsid w:val="00E36149"/>
    <w:rsid w:val="00E372C8"/>
    <w:rsid w:val="00E37BE1"/>
    <w:rsid w:val="00E37CEC"/>
    <w:rsid w:val="00E4063E"/>
    <w:rsid w:val="00E40BC3"/>
    <w:rsid w:val="00E50737"/>
    <w:rsid w:val="00E5216C"/>
    <w:rsid w:val="00E545CB"/>
    <w:rsid w:val="00E55B8B"/>
    <w:rsid w:val="00E619ED"/>
    <w:rsid w:val="00E638C5"/>
    <w:rsid w:val="00E65FC3"/>
    <w:rsid w:val="00E67461"/>
    <w:rsid w:val="00E67865"/>
    <w:rsid w:val="00E67D74"/>
    <w:rsid w:val="00E707E9"/>
    <w:rsid w:val="00E70862"/>
    <w:rsid w:val="00E71831"/>
    <w:rsid w:val="00E72AA0"/>
    <w:rsid w:val="00E7343C"/>
    <w:rsid w:val="00E76A39"/>
    <w:rsid w:val="00E77BB6"/>
    <w:rsid w:val="00E804D3"/>
    <w:rsid w:val="00E81AF9"/>
    <w:rsid w:val="00E820B8"/>
    <w:rsid w:val="00E82EB6"/>
    <w:rsid w:val="00E845F3"/>
    <w:rsid w:val="00E8488F"/>
    <w:rsid w:val="00E860CB"/>
    <w:rsid w:val="00E860E4"/>
    <w:rsid w:val="00E86A85"/>
    <w:rsid w:val="00E86C3E"/>
    <w:rsid w:val="00E87068"/>
    <w:rsid w:val="00E875F7"/>
    <w:rsid w:val="00E9136D"/>
    <w:rsid w:val="00E92A50"/>
    <w:rsid w:val="00E92D68"/>
    <w:rsid w:val="00EA0355"/>
    <w:rsid w:val="00EA0FEE"/>
    <w:rsid w:val="00EA22E1"/>
    <w:rsid w:val="00EA2300"/>
    <w:rsid w:val="00EA256A"/>
    <w:rsid w:val="00EA3066"/>
    <w:rsid w:val="00EA3C52"/>
    <w:rsid w:val="00EA596A"/>
    <w:rsid w:val="00EB43CB"/>
    <w:rsid w:val="00EB452F"/>
    <w:rsid w:val="00EB53A0"/>
    <w:rsid w:val="00EB6AFB"/>
    <w:rsid w:val="00EB6CDA"/>
    <w:rsid w:val="00EB73BF"/>
    <w:rsid w:val="00EC0835"/>
    <w:rsid w:val="00EC109E"/>
    <w:rsid w:val="00EC3F9E"/>
    <w:rsid w:val="00EC57B2"/>
    <w:rsid w:val="00EC5801"/>
    <w:rsid w:val="00EC6892"/>
    <w:rsid w:val="00EC6989"/>
    <w:rsid w:val="00EC72C8"/>
    <w:rsid w:val="00EC78A2"/>
    <w:rsid w:val="00ED1593"/>
    <w:rsid w:val="00ED2A85"/>
    <w:rsid w:val="00ED2C3C"/>
    <w:rsid w:val="00ED2EB7"/>
    <w:rsid w:val="00ED42B3"/>
    <w:rsid w:val="00ED5485"/>
    <w:rsid w:val="00EE1371"/>
    <w:rsid w:val="00EE561B"/>
    <w:rsid w:val="00EE79B7"/>
    <w:rsid w:val="00EF1061"/>
    <w:rsid w:val="00EF3A5D"/>
    <w:rsid w:val="00EF4664"/>
    <w:rsid w:val="00EF5BB8"/>
    <w:rsid w:val="00EF7C31"/>
    <w:rsid w:val="00F003A5"/>
    <w:rsid w:val="00F018AF"/>
    <w:rsid w:val="00F02ECA"/>
    <w:rsid w:val="00F039A5"/>
    <w:rsid w:val="00F0426C"/>
    <w:rsid w:val="00F06156"/>
    <w:rsid w:val="00F075F5"/>
    <w:rsid w:val="00F102D6"/>
    <w:rsid w:val="00F10DF1"/>
    <w:rsid w:val="00F10F60"/>
    <w:rsid w:val="00F1119E"/>
    <w:rsid w:val="00F12ADD"/>
    <w:rsid w:val="00F13DEF"/>
    <w:rsid w:val="00F16EBD"/>
    <w:rsid w:val="00F17535"/>
    <w:rsid w:val="00F20EFA"/>
    <w:rsid w:val="00F21F46"/>
    <w:rsid w:val="00F250F6"/>
    <w:rsid w:val="00F255C1"/>
    <w:rsid w:val="00F257EC"/>
    <w:rsid w:val="00F2698A"/>
    <w:rsid w:val="00F26F6B"/>
    <w:rsid w:val="00F30129"/>
    <w:rsid w:val="00F31C7B"/>
    <w:rsid w:val="00F37303"/>
    <w:rsid w:val="00F40C7D"/>
    <w:rsid w:val="00F41D4E"/>
    <w:rsid w:val="00F42720"/>
    <w:rsid w:val="00F42FB0"/>
    <w:rsid w:val="00F430B8"/>
    <w:rsid w:val="00F45F9C"/>
    <w:rsid w:val="00F462FB"/>
    <w:rsid w:val="00F471FA"/>
    <w:rsid w:val="00F47970"/>
    <w:rsid w:val="00F50E11"/>
    <w:rsid w:val="00F51492"/>
    <w:rsid w:val="00F57B74"/>
    <w:rsid w:val="00F62A5A"/>
    <w:rsid w:val="00F63B1A"/>
    <w:rsid w:val="00F65B30"/>
    <w:rsid w:val="00F66BE6"/>
    <w:rsid w:val="00F70677"/>
    <w:rsid w:val="00F72612"/>
    <w:rsid w:val="00F73E99"/>
    <w:rsid w:val="00F74E3B"/>
    <w:rsid w:val="00F76E41"/>
    <w:rsid w:val="00F77283"/>
    <w:rsid w:val="00F83604"/>
    <w:rsid w:val="00F86597"/>
    <w:rsid w:val="00F90E4B"/>
    <w:rsid w:val="00F92381"/>
    <w:rsid w:val="00F92751"/>
    <w:rsid w:val="00F94B0C"/>
    <w:rsid w:val="00F951DE"/>
    <w:rsid w:val="00FA127B"/>
    <w:rsid w:val="00FA448F"/>
    <w:rsid w:val="00FA5A1B"/>
    <w:rsid w:val="00FA76D4"/>
    <w:rsid w:val="00FB03F5"/>
    <w:rsid w:val="00FB1B91"/>
    <w:rsid w:val="00FB265F"/>
    <w:rsid w:val="00FB3B05"/>
    <w:rsid w:val="00FB4678"/>
    <w:rsid w:val="00FB4C32"/>
    <w:rsid w:val="00FB5188"/>
    <w:rsid w:val="00FB5A3A"/>
    <w:rsid w:val="00FB5B8C"/>
    <w:rsid w:val="00FB5CFF"/>
    <w:rsid w:val="00FC1914"/>
    <w:rsid w:val="00FC30C0"/>
    <w:rsid w:val="00FC33F3"/>
    <w:rsid w:val="00FC3EC9"/>
    <w:rsid w:val="00FC5866"/>
    <w:rsid w:val="00FC718A"/>
    <w:rsid w:val="00FC72D0"/>
    <w:rsid w:val="00FC7A61"/>
    <w:rsid w:val="00FD1739"/>
    <w:rsid w:val="00FD1912"/>
    <w:rsid w:val="00FD2386"/>
    <w:rsid w:val="00FD31C0"/>
    <w:rsid w:val="00FD4092"/>
    <w:rsid w:val="00FD657A"/>
    <w:rsid w:val="00FD674D"/>
    <w:rsid w:val="00FE29F3"/>
    <w:rsid w:val="00FE2CFD"/>
    <w:rsid w:val="00FE5752"/>
    <w:rsid w:val="00FE5A1D"/>
    <w:rsid w:val="00FE63AA"/>
    <w:rsid w:val="00FF07B5"/>
    <w:rsid w:val="00FF3C0F"/>
    <w:rsid w:val="00FF598C"/>
    <w:rsid w:val="00FF5B57"/>
    <w:rsid w:val="00FF6C83"/>
    <w:rsid w:val="00FF77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13D52E"/>
  <w15:docId w15:val="{A97A8565-5C7A-45DA-857B-042B1C0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CF"/>
  </w:style>
  <w:style w:type="paragraph" w:styleId="Ttulo1">
    <w:name w:val="heading 1"/>
    <w:basedOn w:val="Normal"/>
    <w:next w:val="Normal"/>
    <w:link w:val="Ttulo1Car"/>
    <w:uiPriority w:val="9"/>
    <w:qFormat/>
    <w:rsid w:val="009E2E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D42D2"/>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2D2"/>
    <w:pPr>
      <w:tabs>
        <w:tab w:val="center" w:pos="4252"/>
        <w:tab w:val="right" w:pos="8504"/>
      </w:tabs>
    </w:pPr>
  </w:style>
  <w:style w:type="character" w:customStyle="1" w:styleId="EncabezadoCar">
    <w:name w:val="Encabezado Car"/>
    <w:basedOn w:val="Fuentedeprrafopredeter"/>
    <w:link w:val="Encabezado"/>
    <w:uiPriority w:val="99"/>
    <w:rsid w:val="000D42D2"/>
  </w:style>
  <w:style w:type="paragraph" w:styleId="Piedepgina">
    <w:name w:val="footer"/>
    <w:basedOn w:val="Normal"/>
    <w:link w:val="PiedepginaCar"/>
    <w:uiPriority w:val="99"/>
    <w:unhideWhenUsed/>
    <w:rsid w:val="000D42D2"/>
    <w:pPr>
      <w:tabs>
        <w:tab w:val="center" w:pos="4252"/>
        <w:tab w:val="right" w:pos="8504"/>
      </w:tabs>
    </w:pPr>
  </w:style>
  <w:style w:type="character" w:customStyle="1" w:styleId="PiedepginaCar">
    <w:name w:val="Pie de página Car"/>
    <w:basedOn w:val="Fuentedeprrafopredeter"/>
    <w:link w:val="Piedepgina"/>
    <w:uiPriority w:val="99"/>
    <w:rsid w:val="000D42D2"/>
  </w:style>
  <w:style w:type="paragraph" w:styleId="Textodeglobo">
    <w:name w:val="Balloon Text"/>
    <w:basedOn w:val="Normal"/>
    <w:link w:val="TextodegloboCar"/>
    <w:uiPriority w:val="99"/>
    <w:semiHidden/>
    <w:unhideWhenUsed/>
    <w:rsid w:val="000D42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D42D2"/>
    <w:rPr>
      <w:rFonts w:ascii="Lucida Grande" w:hAnsi="Lucida Grande" w:cs="Lucida Grande"/>
      <w:sz w:val="18"/>
      <w:szCs w:val="18"/>
    </w:rPr>
  </w:style>
  <w:style w:type="character" w:customStyle="1" w:styleId="Ttulo2Car">
    <w:name w:val="Título 2 Car"/>
    <w:basedOn w:val="Fuentedeprrafopredeter"/>
    <w:link w:val="Ttulo2"/>
    <w:uiPriority w:val="9"/>
    <w:rsid w:val="000D42D2"/>
    <w:rPr>
      <w:rFonts w:ascii="Times" w:hAnsi="Times"/>
      <w:b/>
      <w:bCs/>
      <w:sz w:val="36"/>
      <w:szCs w:val="36"/>
    </w:rPr>
  </w:style>
  <w:style w:type="paragraph" w:styleId="NormalWeb">
    <w:name w:val="Normal (Web)"/>
    <w:aliases w:val="Normal (Web) Car Car,Normal (Web) Car Car Car,Normal (Web) Car,Normal (Web) Car Car Car Car Car Car,Normal (Web) Car Car Car Car Car Car Car Car Car"/>
    <w:basedOn w:val="Normal"/>
    <w:uiPriority w:val="99"/>
    <w:semiHidden/>
    <w:unhideWhenUsed/>
    <w:qFormat/>
    <w:rsid w:val="000D42D2"/>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0D42D2"/>
    <w:rPr>
      <w:b/>
      <w:bCs/>
    </w:rPr>
  </w:style>
  <w:style w:type="character" w:customStyle="1" w:styleId="apple-converted-space">
    <w:name w:val="apple-converted-space"/>
    <w:basedOn w:val="Fuentedeprrafopredeter"/>
    <w:rsid w:val="000D42D2"/>
  </w:style>
  <w:style w:type="paragraph" w:customStyle="1" w:styleId="Standard">
    <w:name w:val="Standard"/>
    <w:rsid w:val="001574A9"/>
    <w:pPr>
      <w:suppressAutoHyphens/>
      <w:autoSpaceDN w:val="0"/>
      <w:textAlignment w:val="baseline"/>
    </w:pPr>
    <w:rPr>
      <w:rFonts w:ascii="Times New Roman" w:eastAsia="Times New Roman" w:hAnsi="Times New Roman" w:cs="Times New Roman"/>
      <w:kern w:val="3"/>
      <w:lang w:val="es-ES" w:eastAsia="zh-CN"/>
    </w:rPr>
  </w:style>
  <w:style w:type="table" w:styleId="Tablaconcuadrcula">
    <w:name w:val="Table Grid"/>
    <w:basedOn w:val="Tablanormal"/>
    <w:uiPriority w:val="39"/>
    <w:rsid w:val="00764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51B0"/>
    <w:pPr>
      <w:ind w:left="720"/>
      <w:contextualSpacing/>
    </w:pPr>
  </w:style>
  <w:style w:type="character" w:customStyle="1" w:styleId="Ttulo1Car">
    <w:name w:val="Título 1 Car"/>
    <w:basedOn w:val="Fuentedeprrafopredeter"/>
    <w:link w:val="Ttulo1"/>
    <w:uiPriority w:val="9"/>
    <w:rsid w:val="009E2EA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5092">
      <w:bodyDiv w:val="1"/>
      <w:marLeft w:val="0"/>
      <w:marRight w:val="0"/>
      <w:marTop w:val="0"/>
      <w:marBottom w:val="0"/>
      <w:divBdr>
        <w:top w:val="none" w:sz="0" w:space="0" w:color="auto"/>
        <w:left w:val="none" w:sz="0" w:space="0" w:color="auto"/>
        <w:bottom w:val="none" w:sz="0" w:space="0" w:color="auto"/>
        <w:right w:val="none" w:sz="0" w:space="0" w:color="auto"/>
      </w:divBdr>
    </w:div>
    <w:div w:id="286132945">
      <w:bodyDiv w:val="1"/>
      <w:marLeft w:val="0"/>
      <w:marRight w:val="0"/>
      <w:marTop w:val="0"/>
      <w:marBottom w:val="0"/>
      <w:divBdr>
        <w:top w:val="none" w:sz="0" w:space="0" w:color="auto"/>
        <w:left w:val="none" w:sz="0" w:space="0" w:color="auto"/>
        <w:bottom w:val="none" w:sz="0" w:space="0" w:color="auto"/>
        <w:right w:val="none" w:sz="0" w:space="0" w:color="auto"/>
      </w:divBdr>
    </w:div>
    <w:div w:id="322396726">
      <w:bodyDiv w:val="1"/>
      <w:marLeft w:val="0"/>
      <w:marRight w:val="0"/>
      <w:marTop w:val="0"/>
      <w:marBottom w:val="0"/>
      <w:divBdr>
        <w:top w:val="none" w:sz="0" w:space="0" w:color="auto"/>
        <w:left w:val="none" w:sz="0" w:space="0" w:color="auto"/>
        <w:bottom w:val="none" w:sz="0" w:space="0" w:color="auto"/>
        <w:right w:val="none" w:sz="0" w:space="0" w:color="auto"/>
      </w:divBdr>
    </w:div>
    <w:div w:id="699282914">
      <w:bodyDiv w:val="1"/>
      <w:marLeft w:val="0"/>
      <w:marRight w:val="0"/>
      <w:marTop w:val="0"/>
      <w:marBottom w:val="0"/>
      <w:divBdr>
        <w:top w:val="none" w:sz="0" w:space="0" w:color="auto"/>
        <w:left w:val="none" w:sz="0" w:space="0" w:color="auto"/>
        <w:bottom w:val="none" w:sz="0" w:space="0" w:color="auto"/>
        <w:right w:val="none" w:sz="0" w:space="0" w:color="auto"/>
      </w:divBdr>
    </w:div>
    <w:div w:id="723795302">
      <w:bodyDiv w:val="1"/>
      <w:marLeft w:val="0"/>
      <w:marRight w:val="0"/>
      <w:marTop w:val="0"/>
      <w:marBottom w:val="0"/>
      <w:divBdr>
        <w:top w:val="none" w:sz="0" w:space="0" w:color="auto"/>
        <w:left w:val="none" w:sz="0" w:space="0" w:color="auto"/>
        <w:bottom w:val="none" w:sz="0" w:space="0" w:color="auto"/>
        <w:right w:val="none" w:sz="0" w:space="0" w:color="auto"/>
      </w:divBdr>
    </w:div>
    <w:div w:id="804390802">
      <w:bodyDiv w:val="1"/>
      <w:marLeft w:val="0"/>
      <w:marRight w:val="0"/>
      <w:marTop w:val="0"/>
      <w:marBottom w:val="0"/>
      <w:divBdr>
        <w:top w:val="none" w:sz="0" w:space="0" w:color="auto"/>
        <w:left w:val="none" w:sz="0" w:space="0" w:color="auto"/>
        <w:bottom w:val="none" w:sz="0" w:space="0" w:color="auto"/>
        <w:right w:val="none" w:sz="0" w:space="0" w:color="auto"/>
      </w:divBdr>
      <w:divsChild>
        <w:div w:id="1183668741">
          <w:marLeft w:val="432"/>
          <w:marRight w:val="216"/>
          <w:marTop w:val="0"/>
          <w:marBottom w:val="0"/>
          <w:divBdr>
            <w:top w:val="none" w:sz="0" w:space="0" w:color="auto"/>
            <w:left w:val="none" w:sz="0" w:space="0" w:color="auto"/>
            <w:bottom w:val="none" w:sz="0" w:space="0" w:color="auto"/>
            <w:right w:val="none" w:sz="0" w:space="0" w:color="auto"/>
          </w:divBdr>
        </w:div>
        <w:div w:id="452017744">
          <w:marLeft w:val="216"/>
          <w:marRight w:val="432"/>
          <w:marTop w:val="0"/>
          <w:marBottom w:val="0"/>
          <w:divBdr>
            <w:top w:val="none" w:sz="0" w:space="0" w:color="auto"/>
            <w:left w:val="none" w:sz="0" w:space="0" w:color="auto"/>
            <w:bottom w:val="none" w:sz="0" w:space="0" w:color="auto"/>
            <w:right w:val="none" w:sz="0" w:space="0" w:color="auto"/>
          </w:divBdr>
        </w:div>
      </w:divsChild>
    </w:div>
    <w:div w:id="1144197614">
      <w:bodyDiv w:val="1"/>
      <w:marLeft w:val="0"/>
      <w:marRight w:val="0"/>
      <w:marTop w:val="0"/>
      <w:marBottom w:val="0"/>
      <w:divBdr>
        <w:top w:val="none" w:sz="0" w:space="0" w:color="auto"/>
        <w:left w:val="none" w:sz="0" w:space="0" w:color="auto"/>
        <w:bottom w:val="none" w:sz="0" w:space="0" w:color="auto"/>
        <w:right w:val="none" w:sz="0" w:space="0" w:color="auto"/>
      </w:divBdr>
    </w:div>
    <w:div w:id="1188908413">
      <w:bodyDiv w:val="1"/>
      <w:marLeft w:val="0"/>
      <w:marRight w:val="0"/>
      <w:marTop w:val="0"/>
      <w:marBottom w:val="0"/>
      <w:divBdr>
        <w:top w:val="none" w:sz="0" w:space="0" w:color="auto"/>
        <w:left w:val="none" w:sz="0" w:space="0" w:color="auto"/>
        <w:bottom w:val="none" w:sz="0" w:space="0" w:color="auto"/>
        <w:right w:val="none" w:sz="0" w:space="0" w:color="auto"/>
      </w:divBdr>
    </w:div>
    <w:div w:id="1193417679">
      <w:bodyDiv w:val="1"/>
      <w:marLeft w:val="0"/>
      <w:marRight w:val="0"/>
      <w:marTop w:val="0"/>
      <w:marBottom w:val="0"/>
      <w:divBdr>
        <w:top w:val="none" w:sz="0" w:space="0" w:color="auto"/>
        <w:left w:val="none" w:sz="0" w:space="0" w:color="auto"/>
        <w:bottom w:val="none" w:sz="0" w:space="0" w:color="auto"/>
        <w:right w:val="none" w:sz="0" w:space="0" w:color="auto"/>
      </w:divBdr>
      <w:divsChild>
        <w:div w:id="34432568">
          <w:marLeft w:val="432"/>
          <w:marRight w:val="216"/>
          <w:marTop w:val="0"/>
          <w:marBottom w:val="0"/>
          <w:divBdr>
            <w:top w:val="none" w:sz="0" w:space="0" w:color="auto"/>
            <w:left w:val="none" w:sz="0" w:space="0" w:color="auto"/>
            <w:bottom w:val="none" w:sz="0" w:space="0" w:color="auto"/>
            <w:right w:val="none" w:sz="0" w:space="0" w:color="auto"/>
          </w:divBdr>
        </w:div>
        <w:div w:id="470252481">
          <w:marLeft w:val="216"/>
          <w:marRight w:val="432"/>
          <w:marTop w:val="0"/>
          <w:marBottom w:val="0"/>
          <w:divBdr>
            <w:top w:val="none" w:sz="0" w:space="0" w:color="auto"/>
            <w:left w:val="none" w:sz="0" w:space="0" w:color="auto"/>
            <w:bottom w:val="none" w:sz="0" w:space="0" w:color="auto"/>
            <w:right w:val="none" w:sz="0" w:space="0" w:color="auto"/>
          </w:divBdr>
        </w:div>
      </w:divsChild>
    </w:div>
    <w:div w:id="1302805601">
      <w:bodyDiv w:val="1"/>
      <w:marLeft w:val="0"/>
      <w:marRight w:val="0"/>
      <w:marTop w:val="0"/>
      <w:marBottom w:val="0"/>
      <w:divBdr>
        <w:top w:val="none" w:sz="0" w:space="0" w:color="auto"/>
        <w:left w:val="none" w:sz="0" w:space="0" w:color="auto"/>
        <w:bottom w:val="none" w:sz="0" w:space="0" w:color="auto"/>
        <w:right w:val="none" w:sz="0" w:space="0" w:color="auto"/>
      </w:divBdr>
    </w:div>
    <w:div w:id="1541746133">
      <w:bodyDiv w:val="1"/>
      <w:marLeft w:val="0"/>
      <w:marRight w:val="0"/>
      <w:marTop w:val="0"/>
      <w:marBottom w:val="0"/>
      <w:divBdr>
        <w:top w:val="none" w:sz="0" w:space="0" w:color="auto"/>
        <w:left w:val="none" w:sz="0" w:space="0" w:color="auto"/>
        <w:bottom w:val="none" w:sz="0" w:space="0" w:color="auto"/>
        <w:right w:val="none" w:sz="0" w:space="0" w:color="auto"/>
      </w:divBdr>
    </w:div>
    <w:div w:id="1590387107">
      <w:bodyDiv w:val="1"/>
      <w:marLeft w:val="0"/>
      <w:marRight w:val="0"/>
      <w:marTop w:val="0"/>
      <w:marBottom w:val="0"/>
      <w:divBdr>
        <w:top w:val="none" w:sz="0" w:space="0" w:color="auto"/>
        <w:left w:val="none" w:sz="0" w:space="0" w:color="auto"/>
        <w:bottom w:val="none" w:sz="0" w:space="0" w:color="auto"/>
        <w:right w:val="none" w:sz="0" w:space="0" w:color="auto"/>
      </w:divBdr>
    </w:div>
    <w:div w:id="1788233456">
      <w:bodyDiv w:val="1"/>
      <w:marLeft w:val="0"/>
      <w:marRight w:val="0"/>
      <w:marTop w:val="0"/>
      <w:marBottom w:val="0"/>
      <w:divBdr>
        <w:top w:val="none" w:sz="0" w:space="0" w:color="auto"/>
        <w:left w:val="none" w:sz="0" w:space="0" w:color="auto"/>
        <w:bottom w:val="none" w:sz="0" w:space="0" w:color="auto"/>
        <w:right w:val="none" w:sz="0" w:space="0" w:color="auto"/>
      </w:divBdr>
    </w:div>
    <w:div w:id="1823307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4200AD4-8209-408E-92E7-28525ED3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8</Pages>
  <Words>2838</Words>
  <Characters>15610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Cielo Natalia Londoño Vela</cp:lastModifiedBy>
  <cp:revision>88</cp:revision>
  <cp:lastPrinted>2017-02-23T16:56:00Z</cp:lastPrinted>
  <dcterms:created xsi:type="dcterms:W3CDTF">2019-03-05T21:05:00Z</dcterms:created>
  <dcterms:modified xsi:type="dcterms:W3CDTF">2020-02-11T21:50:00Z</dcterms:modified>
</cp:coreProperties>
</file>