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972" w:rsidRPr="00396EB5" w:rsidRDefault="00873972" w:rsidP="00B41CB3">
      <w:pPr>
        <w:jc w:val="center"/>
        <w:rPr>
          <w:rFonts w:ascii="Verdana" w:hAnsi="Verdana"/>
          <w:b/>
          <w:szCs w:val="20"/>
        </w:rPr>
      </w:pPr>
      <w:r w:rsidRPr="00396EB5">
        <w:rPr>
          <w:rFonts w:ascii="Verdana" w:hAnsi="Verdana"/>
          <w:b/>
          <w:szCs w:val="20"/>
        </w:rPr>
        <w:t>AGENCIA PRESIDENCIAL DE COOPERACIÓN INTERNACIONAL</w:t>
      </w:r>
    </w:p>
    <w:p w:rsidR="00F8585A" w:rsidRPr="00396EB5" w:rsidRDefault="00873972" w:rsidP="00F8585A">
      <w:pPr>
        <w:jc w:val="center"/>
        <w:rPr>
          <w:rFonts w:ascii="Verdana" w:hAnsi="Verdana"/>
          <w:b/>
          <w:szCs w:val="20"/>
        </w:rPr>
      </w:pPr>
      <w:r w:rsidRPr="00396EB5">
        <w:rPr>
          <w:rFonts w:ascii="Verdana" w:hAnsi="Verdana"/>
          <w:b/>
          <w:szCs w:val="20"/>
        </w:rPr>
        <w:t xml:space="preserve">Ejecución presupuestal a </w:t>
      </w:r>
      <w:r w:rsidR="009A267E" w:rsidRPr="00396EB5">
        <w:rPr>
          <w:rFonts w:ascii="Verdana" w:hAnsi="Verdana"/>
          <w:b/>
          <w:szCs w:val="20"/>
        </w:rPr>
        <w:t xml:space="preserve">31 </w:t>
      </w:r>
      <w:r w:rsidR="007E4BD6" w:rsidRPr="00396EB5">
        <w:rPr>
          <w:rFonts w:ascii="Verdana" w:hAnsi="Verdana"/>
          <w:b/>
          <w:szCs w:val="20"/>
        </w:rPr>
        <w:t>de agosto</w:t>
      </w:r>
      <w:r w:rsidR="00F8585A" w:rsidRPr="00396EB5">
        <w:rPr>
          <w:rFonts w:ascii="Verdana" w:hAnsi="Verdana"/>
          <w:b/>
          <w:szCs w:val="20"/>
        </w:rPr>
        <w:t xml:space="preserve"> de 2019</w:t>
      </w:r>
    </w:p>
    <w:p w:rsidR="00873972" w:rsidRPr="00396EB5" w:rsidRDefault="00873972" w:rsidP="00B41CB3">
      <w:pPr>
        <w:rPr>
          <w:rFonts w:ascii="Verdana" w:hAnsi="Verdana"/>
          <w:szCs w:val="20"/>
        </w:rPr>
      </w:pPr>
    </w:p>
    <w:tbl>
      <w:tblPr>
        <w:tblStyle w:val="Tablaconcuadrcula"/>
        <w:tblW w:w="0" w:type="auto"/>
        <w:tblLook w:val="04A0" w:firstRow="1" w:lastRow="0" w:firstColumn="1" w:lastColumn="0" w:noHBand="0" w:noVBand="1"/>
      </w:tblPr>
      <w:tblGrid>
        <w:gridCol w:w="6612"/>
        <w:gridCol w:w="6666"/>
      </w:tblGrid>
      <w:tr w:rsidR="0057344D" w:rsidRPr="003C58A7" w:rsidTr="00FC7A61">
        <w:tc>
          <w:tcPr>
            <w:tcW w:w="0" w:type="auto"/>
            <w:shd w:val="clear" w:color="auto" w:fill="auto"/>
          </w:tcPr>
          <w:p w:rsidR="00873972" w:rsidRPr="003C58A7" w:rsidRDefault="00873972" w:rsidP="00B41CB3">
            <w:pPr>
              <w:jc w:val="center"/>
              <w:rPr>
                <w:rFonts w:ascii="Verdana" w:hAnsi="Verdana"/>
                <w:b/>
                <w:sz w:val="22"/>
                <w:szCs w:val="20"/>
              </w:rPr>
            </w:pPr>
            <w:r w:rsidRPr="003C58A7">
              <w:rPr>
                <w:rFonts w:ascii="Verdana" w:hAnsi="Verdana"/>
                <w:b/>
                <w:sz w:val="22"/>
                <w:szCs w:val="20"/>
              </w:rPr>
              <w:t>C</w:t>
            </w:r>
            <w:r w:rsidR="00B71B75" w:rsidRPr="003C58A7">
              <w:rPr>
                <w:rFonts w:ascii="Verdana" w:hAnsi="Verdana"/>
                <w:b/>
                <w:sz w:val="22"/>
                <w:szCs w:val="20"/>
              </w:rPr>
              <w:t>ompromisos</w:t>
            </w:r>
          </w:p>
        </w:tc>
        <w:tc>
          <w:tcPr>
            <w:tcW w:w="0" w:type="auto"/>
            <w:shd w:val="clear" w:color="auto" w:fill="auto"/>
          </w:tcPr>
          <w:p w:rsidR="00873972" w:rsidRPr="003C58A7" w:rsidRDefault="00873972" w:rsidP="00B41CB3">
            <w:pPr>
              <w:jc w:val="center"/>
              <w:rPr>
                <w:rFonts w:ascii="Verdana" w:hAnsi="Verdana"/>
                <w:b/>
                <w:sz w:val="22"/>
                <w:szCs w:val="20"/>
              </w:rPr>
            </w:pPr>
            <w:r w:rsidRPr="003C58A7">
              <w:rPr>
                <w:rFonts w:ascii="Verdana" w:hAnsi="Verdana"/>
                <w:b/>
                <w:sz w:val="22"/>
                <w:szCs w:val="20"/>
              </w:rPr>
              <w:t>O</w:t>
            </w:r>
            <w:r w:rsidR="00B71B75" w:rsidRPr="003C58A7">
              <w:rPr>
                <w:rFonts w:ascii="Verdana" w:hAnsi="Verdana"/>
                <w:b/>
                <w:sz w:val="22"/>
                <w:szCs w:val="20"/>
              </w:rPr>
              <w:t>bligaciones</w:t>
            </w:r>
          </w:p>
        </w:tc>
      </w:tr>
      <w:tr w:rsidR="0057344D" w:rsidRPr="003C58A7" w:rsidTr="00FC7A61">
        <w:trPr>
          <w:trHeight w:val="43"/>
        </w:trPr>
        <w:tc>
          <w:tcPr>
            <w:tcW w:w="0" w:type="auto"/>
            <w:shd w:val="clear" w:color="auto" w:fill="auto"/>
            <w:vAlign w:val="center"/>
          </w:tcPr>
          <w:p w:rsidR="00902BE7" w:rsidRPr="00902BE7" w:rsidRDefault="00902BE7" w:rsidP="00902BE7">
            <w:pPr>
              <w:jc w:val="both"/>
              <w:rPr>
                <w:rFonts w:ascii="Verdana" w:hAnsi="Verdana" w:cs="Arial"/>
                <w:sz w:val="20"/>
                <w:szCs w:val="20"/>
              </w:rPr>
            </w:pPr>
            <w:r w:rsidRPr="00902BE7">
              <w:rPr>
                <w:rFonts w:ascii="Verdana" w:hAnsi="Verdana" w:cs="Arial"/>
                <w:b/>
                <w:sz w:val="20"/>
                <w:szCs w:val="20"/>
              </w:rPr>
              <w:t>Indicador:</w:t>
            </w:r>
            <w:r w:rsidRPr="00902BE7">
              <w:rPr>
                <w:rFonts w:ascii="Verdana" w:hAnsi="Verdana" w:cs="Arial"/>
                <w:sz w:val="20"/>
                <w:szCs w:val="20"/>
              </w:rPr>
              <w:t xml:space="preserve"> Ejecución Compromisos / Apropiación Vigente.</w:t>
            </w:r>
          </w:p>
          <w:p w:rsidR="00902BE7" w:rsidRPr="00902BE7" w:rsidRDefault="00902BE7" w:rsidP="00902BE7">
            <w:pPr>
              <w:jc w:val="both"/>
              <w:rPr>
                <w:rFonts w:ascii="Verdana" w:hAnsi="Verdana" w:cs="Arial"/>
                <w:sz w:val="20"/>
                <w:szCs w:val="20"/>
              </w:rPr>
            </w:pPr>
            <w:r w:rsidRPr="00902BE7">
              <w:rPr>
                <w:rFonts w:ascii="Verdana" w:hAnsi="Verdana" w:cs="Arial"/>
                <w:b/>
                <w:sz w:val="20"/>
                <w:szCs w:val="20"/>
              </w:rPr>
              <w:t>Indicador:</w:t>
            </w:r>
            <w:r w:rsidRPr="00902BE7">
              <w:rPr>
                <w:rFonts w:ascii="Verdana" w:hAnsi="Verdana" w:cs="Arial"/>
                <w:sz w:val="20"/>
                <w:szCs w:val="20"/>
              </w:rPr>
              <w:t xml:space="preserve"> </w:t>
            </w:r>
            <w:r w:rsidR="00541CE0">
              <w:rPr>
                <w:rFonts w:ascii="Verdana" w:hAnsi="Verdana" w:cs="Arial"/>
                <w:sz w:val="20"/>
                <w:szCs w:val="20"/>
              </w:rPr>
              <w:t>34.451,2</w:t>
            </w:r>
            <w:r w:rsidRPr="00902BE7">
              <w:rPr>
                <w:rFonts w:ascii="Verdana" w:hAnsi="Verdana" w:cs="Arial"/>
                <w:sz w:val="20"/>
                <w:szCs w:val="20"/>
              </w:rPr>
              <w:t xml:space="preserve"> / 94.033,1 = </w:t>
            </w:r>
            <w:r w:rsidR="00541CE0">
              <w:rPr>
                <w:rFonts w:ascii="Verdana" w:hAnsi="Verdana" w:cs="Arial"/>
                <w:sz w:val="20"/>
                <w:szCs w:val="20"/>
              </w:rPr>
              <w:t>32,60</w:t>
            </w:r>
            <w:r w:rsidRPr="00902BE7">
              <w:rPr>
                <w:rFonts w:ascii="Verdana" w:hAnsi="Verdana" w:cs="Arial"/>
                <w:sz w:val="20"/>
                <w:szCs w:val="20"/>
              </w:rPr>
              <w:t>%.</w:t>
            </w:r>
          </w:p>
          <w:p w:rsidR="00902BE7" w:rsidRPr="00902BE7" w:rsidRDefault="00A74F27" w:rsidP="00902BE7">
            <w:pPr>
              <w:jc w:val="both"/>
              <w:rPr>
                <w:rFonts w:ascii="Verdana" w:hAnsi="Verdana" w:cs="Arial"/>
                <w:sz w:val="20"/>
                <w:szCs w:val="20"/>
              </w:rPr>
            </w:pPr>
            <w:r>
              <w:rPr>
                <w:rFonts w:ascii="Verdana" w:hAnsi="Verdana" w:cs="Arial"/>
                <w:sz w:val="20"/>
                <w:szCs w:val="20"/>
              </w:rPr>
              <w:tab/>
            </w:r>
          </w:p>
          <w:p w:rsidR="00C17A84" w:rsidRDefault="00902BE7" w:rsidP="005F4A60">
            <w:pPr>
              <w:jc w:val="both"/>
              <w:rPr>
                <w:rFonts w:ascii="Verdana" w:hAnsi="Verdana" w:cs="Arial"/>
                <w:sz w:val="20"/>
                <w:szCs w:val="20"/>
              </w:rPr>
            </w:pPr>
            <w:r w:rsidRPr="00902BE7">
              <w:rPr>
                <w:rFonts w:ascii="Verdana" w:hAnsi="Verdana" w:cs="Arial"/>
                <w:sz w:val="20"/>
                <w:szCs w:val="20"/>
                <w:lang w:val="es-CO"/>
              </w:rPr>
              <w:t xml:space="preserve">Con corte al </w:t>
            </w:r>
            <w:r w:rsidR="004F429D">
              <w:rPr>
                <w:rFonts w:ascii="Verdana" w:hAnsi="Verdana" w:cs="Arial"/>
                <w:sz w:val="20"/>
                <w:szCs w:val="20"/>
                <w:lang w:val="es-CO"/>
              </w:rPr>
              <w:t>3</w:t>
            </w:r>
            <w:r w:rsidR="00063D0F">
              <w:rPr>
                <w:rFonts w:ascii="Verdana" w:hAnsi="Verdana" w:cs="Arial"/>
                <w:sz w:val="20"/>
                <w:szCs w:val="20"/>
                <w:lang w:val="es-CO"/>
              </w:rPr>
              <w:t>1</w:t>
            </w:r>
            <w:r w:rsidR="00606CC0">
              <w:rPr>
                <w:rFonts w:ascii="Verdana" w:hAnsi="Verdana" w:cs="Arial"/>
                <w:sz w:val="20"/>
                <w:szCs w:val="20"/>
                <w:lang w:val="es-CO"/>
              </w:rPr>
              <w:t xml:space="preserve"> </w:t>
            </w:r>
            <w:r w:rsidR="00F85104">
              <w:rPr>
                <w:rFonts w:ascii="Verdana" w:hAnsi="Verdana" w:cs="Arial"/>
                <w:sz w:val="20"/>
                <w:szCs w:val="20"/>
                <w:lang w:val="es-CO"/>
              </w:rPr>
              <w:t>de agosto</w:t>
            </w:r>
            <w:r w:rsidRPr="00902BE7">
              <w:rPr>
                <w:rFonts w:ascii="Verdana" w:hAnsi="Verdana" w:cs="Arial"/>
                <w:sz w:val="20"/>
                <w:szCs w:val="20"/>
                <w:lang w:val="es-CO"/>
              </w:rPr>
              <w:t xml:space="preserve"> de 2019, la ejecución presupuestal de la entidad</w:t>
            </w:r>
            <w:r w:rsidRPr="00902BE7">
              <w:rPr>
                <w:rFonts w:ascii="Verdana" w:hAnsi="Verdana" w:cs="Arial"/>
                <w:sz w:val="20"/>
                <w:szCs w:val="20"/>
              </w:rPr>
              <w:t xml:space="preserve"> fue del </w:t>
            </w:r>
            <w:r w:rsidR="00F85104">
              <w:rPr>
                <w:rFonts w:ascii="Verdana" w:hAnsi="Verdana" w:cs="Arial"/>
                <w:sz w:val="20"/>
                <w:szCs w:val="20"/>
              </w:rPr>
              <w:t>36,64</w:t>
            </w:r>
            <w:r w:rsidRPr="00902BE7">
              <w:rPr>
                <w:rFonts w:ascii="Verdana" w:hAnsi="Verdana" w:cs="Arial"/>
                <w:sz w:val="20"/>
                <w:szCs w:val="20"/>
              </w:rPr>
              <w:t xml:space="preserve">% equivalente a </w:t>
            </w:r>
            <w:r w:rsidR="00541CE0">
              <w:rPr>
                <w:rFonts w:ascii="Verdana" w:hAnsi="Verdana" w:cs="Arial"/>
                <w:sz w:val="20"/>
                <w:szCs w:val="20"/>
              </w:rPr>
              <w:t>34.451,</w:t>
            </w:r>
            <w:r w:rsidR="00F85104">
              <w:rPr>
                <w:rFonts w:ascii="Verdana" w:hAnsi="Verdana" w:cs="Arial"/>
                <w:sz w:val="20"/>
                <w:szCs w:val="20"/>
              </w:rPr>
              <w:t>2</w:t>
            </w:r>
            <w:r w:rsidR="00F90A11" w:rsidRPr="00902BE7">
              <w:rPr>
                <w:rFonts w:ascii="Verdana" w:hAnsi="Verdana" w:cs="Arial"/>
                <w:sz w:val="20"/>
                <w:szCs w:val="20"/>
              </w:rPr>
              <w:t xml:space="preserve"> </w:t>
            </w:r>
            <w:r w:rsidRPr="00902BE7">
              <w:rPr>
                <w:rFonts w:ascii="Verdana" w:hAnsi="Verdana" w:cs="Arial"/>
                <w:sz w:val="20"/>
                <w:szCs w:val="20"/>
                <w:lang w:val="es-CO"/>
              </w:rPr>
              <w:t xml:space="preserve">millones, frente a una meta del </w:t>
            </w:r>
            <w:r w:rsidR="00F85104">
              <w:rPr>
                <w:rFonts w:ascii="Verdana" w:hAnsi="Verdana" w:cs="Arial"/>
                <w:sz w:val="20"/>
                <w:szCs w:val="20"/>
                <w:lang w:val="es-CO"/>
              </w:rPr>
              <w:t>32,60</w:t>
            </w:r>
            <w:r w:rsidRPr="00902BE7">
              <w:rPr>
                <w:rFonts w:ascii="Verdana" w:hAnsi="Verdana" w:cs="Arial"/>
                <w:sz w:val="20"/>
                <w:szCs w:val="20"/>
                <w:lang w:val="es-CO"/>
              </w:rPr>
              <w:t xml:space="preserve">%, con un </w:t>
            </w:r>
            <w:r w:rsidR="00063D0F">
              <w:rPr>
                <w:rFonts w:ascii="Verdana" w:hAnsi="Verdana" w:cs="Arial"/>
                <w:sz w:val="20"/>
                <w:szCs w:val="20"/>
                <w:lang w:val="es-CO"/>
              </w:rPr>
              <w:t>superávit</w:t>
            </w:r>
            <w:r w:rsidRPr="00902BE7">
              <w:rPr>
                <w:rFonts w:ascii="Verdana" w:hAnsi="Verdana" w:cs="Arial"/>
                <w:sz w:val="20"/>
                <w:szCs w:val="20"/>
                <w:lang w:val="es-CO"/>
              </w:rPr>
              <w:t xml:space="preserve"> de </w:t>
            </w:r>
            <w:r w:rsidR="00F85104">
              <w:rPr>
                <w:rFonts w:ascii="Verdana" w:hAnsi="Verdana" w:cs="Arial"/>
                <w:sz w:val="20"/>
                <w:szCs w:val="20"/>
                <w:lang w:val="es-CO"/>
              </w:rPr>
              <w:t>3.800,9</w:t>
            </w:r>
            <w:r w:rsidRPr="00902BE7">
              <w:rPr>
                <w:rFonts w:ascii="Verdana" w:hAnsi="Verdana" w:cs="Arial"/>
                <w:sz w:val="20"/>
                <w:szCs w:val="20"/>
                <w:lang w:val="es-CO"/>
              </w:rPr>
              <w:t xml:space="preserve"> millones, el cual se explica así: </w:t>
            </w:r>
            <w:r w:rsidRPr="00902BE7">
              <w:rPr>
                <w:rFonts w:ascii="Verdana" w:hAnsi="Verdana" w:cs="Arial"/>
                <w:b/>
                <w:sz w:val="20"/>
                <w:szCs w:val="20"/>
                <w:u w:val="single"/>
              </w:rPr>
              <w:t xml:space="preserve">A) Funcionamiento: </w:t>
            </w:r>
            <w:r w:rsidRPr="00902BE7">
              <w:rPr>
                <w:rFonts w:ascii="Verdana" w:hAnsi="Verdana" w:cs="Arial"/>
                <w:sz w:val="20"/>
                <w:szCs w:val="20"/>
              </w:rPr>
              <w:t xml:space="preserve">1) </w:t>
            </w:r>
            <w:r w:rsidR="00F8585A">
              <w:rPr>
                <w:rFonts w:ascii="Verdana" w:hAnsi="Verdana" w:cs="Arial"/>
                <w:sz w:val="20"/>
                <w:szCs w:val="20"/>
              </w:rPr>
              <w:t>Superávit</w:t>
            </w:r>
            <w:r w:rsidRPr="00902BE7">
              <w:rPr>
                <w:rFonts w:ascii="Verdana" w:hAnsi="Verdana" w:cs="Arial"/>
                <w:sz w:val="20"/>
                <w:szCs w:val="20"/>
              </w:rPr>
              <w:t xml:space="preserve">  en la ejecución de gastos de personal por </w:t>
            </w:r>
            <w:r w:rsidR="00F85104">
              <w:rPr>
                <w:rFonts w:ascii="Verdana" w:hAnsi="Verdana" w:cs="Arial"/>
                <w:sz w:val="20"/>
                <w:szCs w:val="20"/>
              </w:rPr>
              <w:t>58,4</w:t>
            </w:r>
            <w:r w:rsidRPr="00902BE7">
              <w:rPr>
                <w:rFonts w:ascii="Verdana" w:hAnsi="Verdana" w:cs="Arial"/>
                <w:sz w:val="20"/>
                <w:szCs w:val="20"/>
              </w:rPr>
              <w:t xml:space="preserve"> millones</w:t>
            </w:r>
            <w:r w:rsidR="00907B15">
              <w:rPr>
                <w:rFonts w:ascii="Verdana" w:hAnsi="Verdana" w:cs="Arial"/>
                <w:sz w:val="20"/>
                <w:szCs w:val="20"/>
              </w:rPr>
              <w:t>,</w:t>
            </w:r>
            <w:r w:rsidR="00907B15" w:rsidRPr="0049603A">
              <w:rPr>
                <w:rFonts w:ascii="Verdana" w:hAnsi="Verdana" w:cs="Arial"/>
                <w:sz w:val="20"/>
                <w:szCs w:val="20"/>
              </w:rPr>
              <w:t xml:space="preserve"> se cumplió la meta</w:t>
            </w:r>
            <w:r w:rsidR="00B020F0">
              <w:rPr>
                <w:rFonts w:ascii="Verdana" w:hAnsi="Verdana" w:cs="Arial"/>
                <w:sz w:val="20"/>
                <w:szCs w:val="20"/>
              </w:rPr>
              <w:t>.</w:t>
            </w:r>
            <w:r w:rsidR="007E78DC">
              <w:rPr>
                <w:rFonts w:ascii="Verdana" w:hAnsi="Verdana" w:cs="Arial"/>
                <w:sz w:val="20"/>
                <w:szCs w:val="20"/>
              </w:rPr>
              <w:t xml:space="preserve"> </w:t>
            </w:r>
            <w:r w:rsidRPr="00902BE7">
              <w:rPr>
                <w:rFonts w:ascii="Verdana" w:hAnsi="Verdana" w:cs="Arial"/>
                <w:sz w:val="20"/>
                <w:szCs w:val="20"/>
              </w:rPr>
              <w:t xml:space="preserve">2) </w:t>
            </w:r>
            <w:r w:rsidR="007E78DC">
              <w:rPr>
                <w:rFonts w:ascii="Verdana" w:hAnsi="Verdana" w:cs="Arial"/>
                <w:sz w:val="20"/>
                <w:szCs w:val="20"/>
              </w:rPr>
              <w:t xml:space="preserve">superávit </w:t>
            </w:r>
            <w:r w:rsidRPr="00902BE7">
              <w:rPr>
                <w:rFonts w:ascii="Verdana" w:hAnsi="Verdana" w:cs="Arial"/>
                <w:sz w:val="20"/>
                <w:szCs w:val="20"/>
              </w:rPr>
              <w:t xml:space="preserve">en adquisición de bienes y servicios por </w:t>
            </w:r>
            <w:r w:rsidR="00F85104">
              <w:rPr>
                <w:rFonts w:ascii="Verdana" w:hAnsi="Verdana" w:cs="Arial"/>
                <w:sz w:val="20"/>
                <w:szCs w:val="20"/>
              </w:rPr>
              <w:t>230,4</w:t>
            </w:r>
            <w:r w:rsidRPr="00902BE7">
              <w:rPr>
                <w:rFonts w:ascii="Verdana" w:hAnsi="Verdana" w:cs="Arial"/>
                <w:sz w:val="20"/>
                <w:szCs w:val="20"/>
              </w:rPr>
              <w:t xml:space="preserve"> millones,</w:t>
            </w:r>
            <w:r w:rsidR="007E78DC">
              <w:rPr>
                <w:rFonts w:ascii="Verdana" w:hAnsi="Verdana" w:cs="Arial"/>
                <w:sz w:val="20"/>
                <w:szCs w:val="20"/>
              </w:rPr>
              <w:t xml:space="preserve"> se cumplió la meta, debido que este mes </w:t>
            </w:r>
            <w:r w:rsidR="00DF5C1B">
              <w:rPr>
                <w:rFonts w:ascii="Verdana" w:hAnsi="Verdana" w:cs="Arial"/>
                <w:sz w:val="20"/>
                <w:szCs w:val="20"/>
              </w:rPr>
              <w:t xml:space="preserve">se </w:t>
            </w:r>
            <w:r w:rsidR="00360771">
              <w:rPr>
                <w:rFonts w:ascii="Verdana" w:hAnsi="Verdana" w:cs="Arial"/>
                <w:sz w:val="20"/>
                <w:szCs w:val="20"/>
              </w:rPr>
              <w:t>realizó el contrato</w:t>
            </w:r>
            <w:r w:rsidR="003A4DBC">
              <w:rPr>
                <w:rFonts w:ascii="Verdana" w:hAnsi="Verdana" w:cs="Arial"/>
                <w:sz w:val="20"/>
                <w:szCs w:val="20"/>
              </w:rPr>
              <w:t xml:space="preserve"> con</w:t>
            </w:r>
            <w:r w:rsidR="00907B15">
              <w:rPr>
                <w:rFonts w:ascii="Verdana" w:hAnsi="Verdana" w:cs="Arial"/>
                <w:sz w:val="20"/>
                <w:szCs w:val="20"/>
              </w:rPr>
              <w:t xml:space="preserve"> </w:t>
            </w:r>
            <w:r w:rsidR="00A41E2D">
              <w:rPr>
                <w:rFonts w:ascii="Verdana" w:hAnsi="Verdana" w:cs="Arial"/>
                <w:sz w:val="20"/>
                <w:szCs w:val="20"/>
              </w:rPr>
              <w:t>Berlintz</w:t>
            </w:r>
            <w:r w:rsidR="00907B15">
              <w:rPr>
                <w:rFonts w:ascii="Verdana" w:hAnsi="Verdana" w:cs="Arial"/>
                <w:sz w:val="20"/>
                <w:szCs w:val="20"/>
              </w:rPr>
              <w:t xml:space="preserve"> para </w:t>
            </w:r>
            <w:r w:rsidR="00A41E2D">
              <w:rPr>
                <w:rFonts w:ascii="Verdana" w:hAnsi="Verdana" w:cs="Arial"/>
                <w:sz w:val="20"/>
                <w:szCs w:val="20"/>
              </w:rPr>
              <w:t>la p</w:t>
            </w:r>
            <w:r w:rsidR="00A41E2D" w:rsidRPr="00A41E2D">
              <w:rPr>
                <w:rFonts w:ascii="Verdana" w:hAnsi="Verdana" w:cs="Arial"/>
                <w:sz w:val="20"/>
                <w:szCs w:val="20"/>
              </w:rPr>
              <w:t>restación de servicios profesionales para desarrollar capacitación en idiomas como inglés, francés, alemán e italiano para los servidores</w:t>
            </w:r>
            <w:r w:rsidR="00A41E2D">
              <w:rPr>
                <w:rFonts w:ascii="Verdana" w:hAnsi="Verdana" w:cs="Arial"/>
                <w:sz w:val="20"/>
                <w:szCs w:val="20"/>
              </w:rPr>
              <w:t xml:space="preserve">, </w:t>
            </w:r>
            <w:r w:rsidR="00360771">
              <w:rPr>
                <w:rFonts w:ascii="Verdana" w:hAnsi="Verdana" w:cs="Arial"/>
                <w:sz w:val="20"/>
                <w:szCs w:val="20"/>
              </w:rPr>
              <w:t xml:space="preserve">se </w:t>
            </w:r>
            <w:r w:rsidR="00A41E2D">
              <w:rPr>
                <w:rFonts w:ascii="Verdana" w:hAnsi="Verdana" w:cs="Arial"/>
                <w:sz w:val="20"/>
                <w:szCs w:val="20"/>
              </w:rPr>
              <w:t>adquirieron los repuestos y los tóner para las impresoras y computadores de la entidad</w:t>
            </w:r>
            <w:r w:rsidR="00907B15">
              <w:rPr>
                <w:rFonts w:ascii="Verdana" w:hAnsi="Verdana" w:cs="Arial"/>
                <w:sz w:val="20"/>
                <w:szCs w:val="20"/>
              </w:rPr>
              <w:t xml:space="preserve"> </w:t>
            </w:r>
            <w:r w:rsidRPr="009C75C1">
              <w:rPr>
                <w:rFonts w:ascii="Verdana" w:hAnsi="Verdana" w:cs="Arial"/>
                <w:sz w:val="20"/>
                <w:szCs w:val="20"/>
              </w:rPr>
              <w:t xml:space="preserve">3) </w:t>
            </w:r>
            <w:r w:rsidR="0040121F" w:rsidRPr="009C75C1">
              <w:rPr>
                <w:rFonts w:ascii="Verdana" w:hAnsi="Verdana" w:cs="Arial"/>
                <w:sz w:val="20"/>
                <w:szCs w:val="20"/>
              </w:rPr>
              <w:t xml:space="preserve">Superávit </w:t>
            </w:r>
            <w:r w:rsidRPr="009C75C1">
              <w:rPr>
                <w:rFonts w:ascii="Verdana" w:hAnsi="Verdana" w:cs="Arial"/>
                <w:sz w:val="20"/>
                <w:szCs w:val="20"/>
              </w:rPr>
              <w:t xml:space="preserve"> en la ejecución de transferencias corrientes por </w:t>
            </w:r>
            <w:r w:rsidR="00274D3C">
              <w:rPr>
                <w:rFonts w:ascii="Verdana" w:hAnsi="Verdana" w:cs="Arial"/>
                <w:sz w:val="20"/>
                <w:szCs w:val="20"/>
              </w:rPr>
              <w:t>4.260,1</w:t>
            </w:r>
            <w:r w:rsidRPr="009C75C1">
              <w:rPr>
                <w:rFonts w:ascii="Verdana" w:hAnsi="Verdana" w:cs="Arial"/>
                <w:sz w:val="20"/>
                <w:szCs w:val="20"/>
              </w:rPr>
              <w:t xml:space="preserve"> millones, discriminado así</w:t>
            </w:r>
            <w:r w:rsidR="0040121F" w:rsidRPr="009C75C1">
              <w:rPr>
                <w:rFonts w:ascii="Verdana" w:hAnsi="Verdana" w:cs="Arial"/>
                <w:sz w:val="20"/>
                <w:szCs w:val="20"/>
              </w:rPr>
              <w:t>: i</w:t>
            </w:r>
            <w:r w:rsidRPr="009C75C1">
              <w:rPr>
                <w:rFonts w:ascii="Verdana" w:hAnsi="Verdana" w:cs="Arial"/>
                <w:sz w:val="20"/>
                <w:szCs w:val="20"/>
              </w:rPr>
              <w:t xml:space="preserve">) </w:t>
            </w:r>
            <w:r w:rsidR="0036793A">
              <w:rPr>
                <w:rFonts w:ascii="Verdana" w:hAnsi="Verdana" w:cs="Arial"/>
                <w:sz w:val="20"/>
                <w:szCs w:val="20"/>
              </w:rPr>
              <w:t>S</w:t>
            </w:r>
            <w:r w:rsidR="0040121F" w:rsidRPr="0049603A">
              <w:rPr>
                <w:rFonts w:ascii="Verdana" w:hAnsi="Verdana" w:cs="Arial"/>
                <w:sz w:val="20"/>
                <w:szCs w:val="20"/>
              </w:rPr>
              <w:t>uperávit d</w:t>
            </w:r>
            <w:r w:rsidRPr="0049603A">
              <w:rPr>
                <w:rFonts w:ascii="Verdana" w:hAnsi="Verdana" w:cs="Arial"/>
                <w:sz w:val="20"/>
                <w:szCs w:val="20"/>
              </w:rPr>
              <w:t xml:space="preserve">e </w:t>
            </w:r>
            <w:r w:rsidR="00274D3C">
              <w:rPr>
                <w:rFonts w:ascii="Verdana" w:hAnsi="Verdana" w:cs="Arial"/>
                <w:sz w:val="20"/>
                <w:szCs w:val="20"/>
              </w:rPr>
              <w:t>4.260,1</w:t>
            </w:r>
            <w:r w:rsidRPr="0049603A">
              <w:rPr>
                <w:rFonts w:ascii="Verdana" w:hAnsi="Verdana" w:cs="Arial"/>
                <w:sz w:val="20"/>
                <w:szCs w:val="20"/>
              </w:rPr>
              <w:t xml:space="preserve"> millones de recursos provenientes del FOCAI, </w:t>
            </w:r>
            <w:r w:rsidR="00007EA0">
              <w:rPr>
                <w:rFonts w:ascii="Verdana" w:hAnsi="Verdana" w:cs="Arial"/>
                <w:sz w:val="20"/>
                <w:szCs w:val="20"/>
              </w:rPr>
              <w:t xml:space="preserve">debido que se suscribió el contrato </w:t>
            </w:r>
            <w:r w:rsidR="00274D3C">
              <w:rPr>
                <w:rFonts w:ascii="Verdana" w:hAnsi="Verdana" w:cs="Arial"/>
                <w:sz w:val="20"/>
                <w:szCs w:val="20"/>
              </w:rPr>
              <w:t>de p</w:t>
            </w:r>
            <w:r w:rsidR="00274D3C" w:rsidRPr="00274D3C">
              <w:rPr>
                <w:rFonts w:ascii="Verdana" w:hAnsi="Verdana" w:cs="Arial"/>
                <w:sz w:val="20"/>
                <w:szCs w:val="20"/>
              </w:rPr>
              <w:t>restación de servicios para el fortalecimiento de capacidades en técnicas agropecuarias a campesinos de algunos países del Proyecto Mesoamérica</w:t>
            </w:r>
            <w:r w:rsidR="00274D3C">
              <w:rPr>
                <w:rFonts w:ascii="Verdana" w:hAnsi="Verdana" w:cs="Arial"/>
                <w:sz w:val="20"/>
                <w:szCs w:val="20"/>
              </w:rPr>
              <w:t xml:space="preserve"> con FUNDAPANACA</w:t>
            </w:r>
            <w:r w:rsidR="00007EA0">
              <w:rPr>
                <w:rFonts w:ascii="Verdana" w:hAnsi="Verdana" w:cs="Arial"/>
                <w:sz w:val="20"/>
                <w:szCs w:val="20"/>
              </w:rPr>
              <w:t>,</w:t>
            </w:r>
            <w:r w:rsidR="00274D3C">
              <w:rPr>
                <w:rFonts w:ascii="Verdana" w:hAnsi="Verdana" w:cs="Arial"/>
                <w:sz w:val="20"/>
                <w:szCs w:val="20"/>
              </w:rPr>
              <w:t xml:space="preserve"> y el contrato con ALGOAP SAS para </w:t>
            </w:r>
            <w:r w:rsidR="00274D3C" w:rsidRPr="00274D3C">
              <w:rPr>
                <w:rFonts w:ascii="Verdana" w:hAnsi="Verdana" w:cs="Arial"/>
                <w:sz w:val="20"/>
                <w:szCs w:val="20"/>
              </w:rPr>
              <w:t>servicios de traducción e interpretación simultánea, consecutiva, susurrada y de documentos</w:t>
            </w:r>
            <w:r w:rsidR="00274D3C">
              <w:rPr>
                <w:rFonts w:ascii="Verdana" w:hAnsi="Verdana" w:cs="Arial"/>
                <w:sz w:val="20"/>
                <w:szCs w:val="20"/>
              </w:rPr>
              <w:t xml:space="preserve"> y se </w:t>
            </w:r>
            <w:r w:rsidR="00B6527F">
              <w:rPr>
                <w:rFonts w:ascii="Verdana" w:hAnsi="Verdana" w:cs="Arial"/>
                <w:sz w:val="20"/>
                <w:szCs w:val="20"/>
              </w:rPr>
              <w:t xml:space="preserve">realizó una </w:t>
            </w:r>
            <w:r w:rsidR="00274D3C">
              <w:rPr>
                <w:rFonts w:ascii="Verdana" w:hAnsi="Verdana" w:cs="Arial"/>
                <w:sz w:val="20"/>
                <w:szCs w:val="20"/>
              </w:rPr>
              <w:t xml:space="preserve">asistencia </w:t>
            </w:r>
            <w:r w:rsidR="00B6527F">
              <w:rPr>
                <w:rFonts w:ascii="Verdana" w:hAnsi="Verdana" w:cs="Arial"/>
                <w:sz w:val="20"/>
                <w:szCs w:val="20"/>
              </w:rPr>
              <w:t>humanitaria con destino al Gobierno de La Republica de Honduras,</w:t>
            </w:r>
            <w:r w:rsidR="00274D3C">
              <w:rPr>
                <w:rFonts w:ascii="Verdana" w:hAnsi="Verdana" w:cs="Arial"/>
                <w:sz w:val="20"/>
                <w:szCs w:val="20"/>
              </w:rPr>
              <w:t xml:space="preserve"> </w:t>
            </w:r>
            <w:r w:rsidR="00274D3C" w:rsidRPr="00007EA0">
              <w:rPr>
                <w:rFonts w:ascii="Verdana" w:hAnsi="Verdana" w:cs="Arial"/>
                <w:sz w:val="20"/>
                <w:szCs w:val="20"/>
              </w:rPr>
              <w:t xml:space="preserve"> </w:t>
            </w:r>
            <w:r w:rsidR="00007EA0">
              <w:rPr>
                <w:rFonts w:ascii="Verdana" w:hAnsi="Verdana" w:cs="Arial"/>
                <w:sz w:val="20"/>
                <w:szCs w:val="20"/>
              </w:rPr>
              <w:t xml:space="preserve">se </w:t>
            </w:r>
            <w:r w:rsidR="0040121F" w:rsidRPr="0049603A">
              <w:rPr>
                <w:rFonts w:ascii="Verdana" w:hAnsi="Verdana" w:cs="Arial"/>
                <w:sz w:val="20"/>
                <w:szCs w:val="20"/>
              </w:rPr>
              <w:t xml:space="preserve">cumplió la meta; </w:t>
            </w:r>
            <w:r w:rsidR="00450773" w:rsidRPr="0049603A">
              <w:rPr>
                <w:rFonts w:ascii="Verdana" w:hAnsi="Verdana" w:cs="Arial"/>
                <w:sz w:val="20"/>
                <w:szCs w:val="20"/>
              </w:rPr>
              <w:t xml:space="preserve">ii) </w:t>
            </w:r>
            <w:r w:rsidR="00FE52BF">
              <w:rPr>
                <w:rFonts w:ascii="Verdana" w:hAnsi="Verdana" w:cs="Arial"/>
                <w:sz w:val="20"/>
                <w:szCs w:val="20"/>
              </w:rPr>
              <w:t xml:space="preserve">se presentó déficit de </w:t>
            </w:r>
            <w:r w:rsidR="00662352">
              <w:rPr>
                <w:rFonts w:ascii="Verdana" w:hAnsi="Verdana" w:cs="Arial"/>
                <w:sz w:val="20"/>
                <w:szCs w:val="20"/>
              </w:rPr>
              <w:t>100 mil pesos</w:t>
            </w:r>
            <w:r w:rsidR="0040121F" w:rsidRPr="0049603A">
              <w:rPr>
                <w:rFonts w:ascii="Verdana" w:hAnsi="Verdana" w:cs="Arial"/>
                <w:sz w:val="20"/>
                <w:szCs w:val="20"/>
              </w:rPr>
              <w:t xml:space="preserve">, </w:t>
            </w:r>
            <w:r w:rsidR="00007EA0">
              <w:rPr>
                <w:rFonts w:ascii="Verdana" w:hAnsi="Verdana" w:cs="Arial"/>
                <w:sz w:val="20"/>
                <w:szCs w:val="20"/>
              </w:rPr>
              <w:t>en incapacidades y licencias de maternidad</w:t>
            </w:r>
            <w:r w:rsidR="00D14A6A">
              <w:rPr>
                <w:rFonts w:ascii="Verdana" w:hAnsi="Verdana" w:cs="Arial"/>
                <w:sz w:val="20"/>
                <w:szCs w:val="20"/>
              </w:rPr>
              <w:t xml:space="preserve"> este rubro varía según las incapacidades y licencias que radican el talento humano</w:t>
            </w:r>
            <w:r w:rsidR="00BC7B65" w:rsidRPr="005941CA">
              <w:rPr>
                <w:rFonts w:ascii="Verdana" w:hAnsi="Verdana" w:cs="Arial"/>
                <w:b/>
                <w:sz w:val="20"/>
                <w:szCs w:val="20"/>
              </w:rPr>
              <w:t xml:space="preserve"> B</w:t>
            </w:r>
            <w:r w:rsidRPr="005941CA">
              <w:rPr>
                <w:rFonts w:ascii="Verdana" w:hAnsi="Verdana" w:cs="Arial"/>
                <w:b/>
                <w:sz w:val="20"/>
                <w:szCs w:val="20"/>
              </w:rPr>
              <w:t>) Gastos de inversión:</w:t>
            </w:r>
            <w:r w:rsidRPr="00994555">
              <w:rPr>
                <w:rFonts w:ascii="Verdana" w:hAnsi="Verdana" w:cs="Arial"/>
                <w:sz w:val="20"/>
                <w:szCs w:val="20"/>
              </w:rPr>
              <w:t xml:space="preserve"> </w:t>
            </w:r>
            <w:r w:rsidR="00C21867">
              <w:rPr>
                <w:rFonts w:ascii="Verdana" w:hAnsi="Verdana" w:cs="Arial"/>
                <w:sz w:val="20"/>
                <w:szCs w:val="20"/>
              </w:rPr>
              <w:t>1)</w:t>
            </w:r>
            <w:r w:rsidRPr="00994555">
              <w:rPr>
                <w:rFonts w:ascii="Verdana" w:hAnsi="Verdana" w:cs="Arial"/>
                <w:sz w:val="20"/>
                <w:szCs w:val="20"/>
              </w:rPr>
              <w:t xml:space="preserve">La ejecución en inversión tiene </w:t>
            </w:r>
            <w:r w:rsidR="00662352">
              <w:rPr>
                <w:rFonts w:ascii="Verdana" w:hAnsi="Verdana" w:cs="Arial"/>
                <w:sz w:val="20"/>
                <w:szCs w:val="20"/>
              </w:rPr>
              <w:t xml:space="preserve">Déficit </w:t>
            </w:r>
            <w:r w:rsidRPr="00994555">
              <w:rPr>
                <w:rFonts w:ascii="Verdana" w:hAnsi="Verdana" w:cs="Arial"/>
                <w:sz w:val="20"/>
                <w:szCs w:val="20"/>
              </w:rPr>
              <w:t xml:space="preserve">de </w:t>
            </w:r>
            <w:r w:rsidR="00662352">
              <w:rPr>
                <w:rFonts w:ascii="Verdana" w:hAnsi="Verdana" w:cs="Arial"/>
                <w:sz w:val="20"/>
                <w:szCs w:val="20"/>
              </w:rPr>
              <w:t>748</w:t>
            </w:r>
            <w:r w:rsidR="00007EA0">
              <w:rPr>
                <w:rFonts w:ascii="Verdana" w:hAnsi="Verdana" w:cs="Arial"/>
                <w:sz w:val="20"/>
                <w:szCs w:val="20"/>
              </w:rPr>
              <w:t>,</w:t>
            </w:r>
            <w:r w:rsidR="00662352">
              <w:rPr>
                <w:rFonts w:ascii="Verdana" w:hAnsi="Verdana" w:cs="Arial"/>
                <w:sz w:val="20"/>
                <w:szCs w:val="20"/>
              </w:rPr>
              <w:t>0</w:t>
            </w:r>
            <w:r w:rsidRPr="00994555">
              <w:rPr>
                <w:rFonts w:ascii="Verdana" w:hAnsi="Verdana" w:cs="Arial"/>
                <w:sz w:val="20"/>
                <w:szCs w:val="20"/>
              </w:rPr>
              <w:t xml:space="preserve"> millones</w:t>
            </w:r>
            <w:r w:rsidR="00007EA0">
              <w:rPr>
                <w:rFonts w:ascii="Verdana" w:hAnsi="Verdana" w:cs="Arial"/>
                <w:sz w:val="20"/>
                <w:szCs w:val="20"/>
              </w:rPr>
              <w:t>,</w:t>
            </w:r>
            <w:r w:rsidR="00662352">
              <w:rPr>
                <w:rFonts w:ascii="Verdana" w:hAnsi="Verdana" w:cs="Arial"/>
                <w:sz w:val="20"/>
                <w:szCs w:val="20"/>
              </w:rPr>
              <w:t xml:space="preserve"> </w:t>
            </w:r>
            <w:r w:rsidR="00007EA0" w:rsidRPr="00994555">
              <w:rPr>
                <w:rFonts w:ascii="Verdana" w:hAnsi="Verdana" w:cs="Arial"/>
                <w:sz w:val="20"/>
                <w:szCs w:val="20"/>
              </w:rPr>
              <w:t>debido</w:t>
            </w:r>
            <w:r w:rsidRPr="00994555">
              <w:rPr>
                <w:rFonts w:ascii="Verdana" w:hAnsi="Verdana" w:cs="Arial"/>
                <w:sz w:val="20"/>
                <w:szCs w:val="20"/>
              </w:rPr>
              <w:t xml:space="preserve"> a que</w:t>
            </w:r>
            <w:r w:rsidR="00007EA0">
              <w:rPr>
                <w:rFonts w:ascii="Verdana" w:hAnsi="Verdana" w:cs="Arial"/>
                <w:sz w:val="20"/>
                <w:szCs w:val="20"/>
              </w:rPr>
              <w:t xml:space="preserve"> </w:t>
            </w:r>
            <w:r w:rsidR="00662352">
              <w:rPr>
                <w:rFonts w:ascii="Verdana" w:hAnsi="Verdana" w:cs="Arial"/>
                <w:sz w:val="20"/>
                <w:szCs w:val="20"/>
              </w:rPr>
              <w:t xml:space="preserve">no se tramitaron todos los contratos que se tenían previstos por el rubro de Contrapartida </w:t>
            </w:r>
            <w:r w:rsidR="00B362ED">
              <w:rPr>
                <w:rFonts w:ascii="Verdana" w:hAnsi="Verdana" w:cs="Arial"/>
                <w:sz w:val="20"/>
                <w:szCs w:val="20"/>
              </w:rPr>
              <w:t xml:space="preserve"> y por Fortalecimiento de las </w:t>
            </w:r>
            <w:r w:rsidR="00B362ED">
              <w:rPr>
                <w:rFonts w:ascii="Verdana" w:hAnsi="Verdana" w:cs="Arial"/>
                <w:sz w:val="20"/>
                <w:szCs w:val="20"/>
              </w:rPr>
              <w:lastRenderedPageBreak/>
              <w:t>Capacidades Tecnológicas, a pesar de presentar déficit por Inversión el rubro de Administración de Recursos cumplió con su meta propuesta.</w:t>
            </w:r>
          </w:p>
          <w:p w:rsidR="00B362ED" w:rsidRPr="00B362ED" w:rsidRDefault="00B362ED" w:rsidP="005F4A60">
            <w:pPr>
              <w:jc w:val="both"/>
              <w:rPr>
                <w:rFonts w:ascii="Verdana" w:hAnsi="Verdana" w:cs="Arial"/>
                <w:sz w:val="20"/>
                <w:szCs w:val="20"/>
              </w:rPr>
            </w:pPr>
          </w:p>
          <w:p w:rsidR="00902BE7" w:rsidRPr="00902BE7" w:rsidRDefault="00902BE7" w:rsidP="005F4A60">
            <w:pPr>
              <w:jc w:val="both"/>
              <w:rPr>
                <w:rFonts w:ascii="Verdana" w:hAnsi="Verdana" w:cs="Arial"/>
                <w:sz w:val="20"/>
                <w:szCs w:val="20"/>
              </w:rPr>
            </w:pPr>
            <w:r w:rsidRPr="00902BE7">
              <w:rPr>
                <w:rFonts w:ascii="Verdana" w:hAnsi="Verdana" w:cs="Arial"/>
                <w:sz w:val="20"/>
                <w:szCs w:val="20"/>
                <w:lang w:val="es-CO"/>
              </w:rPr>
              <w:t xml:space="preserve">El </w:t>
            </w:r>
            <w:r w:rsidR="00E80DA3">
              <w:rPr>
                <w:rFonts w:ascii="Verdana" w:hAnsi="Verdana" w:cs="Arial"/>
                <w:sz w:val="20"/>
                <w:szCs w:val="20"/>
                <w:lang w:val="es-CO"/>
              </w:rPr>
              <w:t>45,10</w:t>
            </w:r>
            <w:r w:rsidRPr="00902BE7">
              <w:rPr>
                <w:rFonts w:ascii="Verdana" w:hAnsi="Verdana" w:cs="Arial"/>
                <w:sz w:val="20"/>
                <w:szCs w:val="20"/>
                <w:lang w:val="es-CO"/>
              </w:rPr>
              <w:t xml:space="preserve">% de la ejecución corresponde a los gastos de funcionamiento y el </w:t>
            </w:r>
            <w:r w:rsidR="00E80DA3">
              <w:rPr>
                <w:rFonts w:ascii="Verdana" w:hAnsi="Verdana" w:cs="Arial"/>
                <w:sz w:val="20"/>
                <w:szCs w:val="20"/>
                <w:lang w:val="es-CO"/>
              </w:rPr>
              <w:t>54,90</w:t>
            </w:r>
            <w:r w:rsidRPr="00902BE7">
              <w:rPr>
                <w:rFonts w:ascii="Verdana" w:hAnsi="Verdana" w:cs="Arial"/>
                <w:sz w:val="20"/>
                <w:szCs w:val="20"/>
                <w:lang w:val="es-CO"/>
              </w:rPr>
              <w:t>% a los gastos de inversión</w:t>
            </w:r>
            <w:r w:rsidRPr="00902BE7">
              <w:rPr>
                <w:rFonts w:ascii="Verdana" w:hAnsi="Verdana" w:cs="Arial"/>
                <w:sz w:val="20"/>
                <w:szCs w:val="20"/>
              </w:rPr>
              <w:t>.</w:t>
            </w:r>
          </w:p>
          <w:p w:rsidR="00E279ED" w:rsidRPr="00882814" w:rsidRDefault="00E279ED" w:rsidP="005F4A60">
            <w:pPr>
              <w:jc w:val="both"/>
              <w:rPr>
                <w:rFonts w:ascii="Verdana" w:hAnsi="Verdana"/>
                <w:sz w:val="18"/>
                <w:szCs w:val="20"/>
              </w:rPr>
            </w:pPr>
          </w:p>
          <w:p w:rsidR="00CE00C6" w:rsidRPr="00882814" w:rsidRDefault="00902BE7" w:rsidP="005F4A60">
            <w:pPr>
              <w:jc w:val="both"/>
              <w:rPr>
                <w:rFonts w:ascii="Verdana" w:hAnsi="Verdana" w:cs="Arial"/>
                <w:sz w:val="20"/>
                <w:szCs w:val="20"/>
              </w:rPr>
            </w:pPr>
            <w:r w:rsidRPr="00882814">
              <w:rPr>
                <w:rFonts w:ascii="Verdana" w:hAnsi="Verdana" w:cs="Arial"/>
                <w:sz w:val="20"/>
                <w:szCs w:val="20"/>
              </w:rPr>
              <w:t xml:space="preserve">La ejecución de los gastos de funcionamiento estuvo distribuida de la siguiente manera: </w:t>
            </w:r>
          </w:p>
          <w:p w:rsidR="00902BE7" w:rsidRPr="00882814" w:rsidRDefault="00902BE7" w:rsidP="005F4A60">
            <w:pPr>
              <w:jc w:val="both"/>
              <w:rPr>
                <w:rFonts w:ascii="Verdana" w:hAnsi="Verdana" w:cs="Arial"/>
                <w:sz w:val="20"/>
                <w:szCs w:val="20"/>
              </w:rPr>
            </w:pPr>
            <w:r w:rsidRPr="00882814">
              <w:rPr>
                <w:rFonts w:ascii="Verdana" w:hAnsi="Verdana" w:cs="Arial"/>
                <w:sz w:val="20"/>
                <w:szCs w:val="20"/>
              </w:rPr>
              <w:t xml:space="preserve">1) Los gastos de personal representan el </w:t>
            </w:r>
            <w:r w:rsidR="00E80DA3">
              <w:rPr>
                <w:rFonts w:ascii="Verdana" w:hAnsi="Verdana" w:cs="Arial"/>
                <w:sz w:val="20"/>
                <w:szCs w:val="20"/>
              </w:rPr>
              <w:t>33,49</w:t>
            </w:r>
            <w:r w:rsidRPr="00882814">
              <w:rPr>
                <w:rFonts w:ascii="Verdana" w:hAnsi="Verdana" w:cs="Arial"/>
                <w:sz w:val="20"/>
                <w:szCs w:val="20"/>
              </w:rPr>
              <w:t>%.</w:t>
            </w:r>
          </w:p>
          <w:p w:rsidR="00902BE7" w:rsidRPr="00882814" w:rsidRDefault="00902BE7" w:rsidP="005F4A60">
            <w:pPr>
              <w:jc w:val="both"/>
              <w:rPr>
                <w:rFonts w:ascii="Verdana" w:hAnsi="Verdana" w:cs="Arial"/>
                <w:sz w:val="20"/>
                <w:szCs w:val="20"/>
              </w:rPr>
            </w:pPr>
            <w:r w:rsidRPr="00882814">
              <w:rPr>
                <w:rFonts w:ascii="Verdana" w:hAnsi="Verdana" w:cs="Arial"/>
                <w:sz w:val="20"/>
                <w:szCs w:val="20"/>
              </w:rPr>
              <w:t xml:space="preserve">2) Los gastos por adquisición de bienes y servicios representan el </w:t>
            </w:r>
            <w:r w:rsidR="00E80DA3">
              <w:rPr>
                <w:rFonts w:ascii="Verdana" w:hAnsi="Verdana" w:cs="Arial"/>
                <w:sz w:val="20"/>
                <w:szCs w:val="20"/>
              </w:rPr>
              <w:t>19,47</w:t>
            </w:r>
            <w:r w:rsidRPr="00882814">
              <w:rPr>
                <w:rFonts w:ascii="Verdana" w:hAnsi="Verdana" w:cs="Arial"/>
                <w:sz w:val="20"/>
                <w:szCs w:val="20"/>
              </w:rPr>
              <w:t>%.</w:t>
            </w:r>
          </w:p>
          <w:p w:rsidR="00902BE7" w:rsidRDefault="00902BE7" w:rsidP="005F4A60">
            <w:pPr>
              <w:jc w:val="both"/>
              <w:rPr>
                <w:rFonts w:ascii="Verdana" w:hAnsi="Verdana" w:cs="Arial"/>
                <w:sz w:val="20"/>
                <w:szCs w:val="20"/>
              </w:rPr>
            </w:pPr>
            <w:r w:rsidRPr="00882814">
              <w:rPr>
                <w:rFonts w:ascii="Verdana" w:hAnsi="Verdana" w:cs="Arial"/>
                <w:sz w:val="20"/>
                <w:szCs w:val="20"/>
              </w:rPr>
              <w:t xml:space="preserve">3) Los gastos de transferencias corrientes representan el </w:t>
            </w:r>
            <w:r w:rsidR="00E80DA3">
              <w:rPr>
                <w:rFonts w:ascii="Verdana" w:hAnsi="Verdana" w:cs="Arial"/>
                <w:sz w:val="20"/>
                <w:szCs w:val="20"/>
              </w:rPr>
              <w:t>47,04</w:t>
            </w:r>
            <w:r w:rsidR="00882814" w:rsidRPr="00882814">
              <w:rPr>
                <w:rFonts w:ascii="Verdana" w:hAnsi="Verdana" w:cs="Arial"/>
                <w:sz w:val="20"/>
                <w:szCs w:val="20"/>
              </w:rPr>
              <w:t xml:space="preserve">%, el  </w:t>
            </w:r>
            <w:r w:rsidR="00E80DA3">
              <w:rPr>
                <w:rFonts w:ascii="Verdana" w:hAnsi="Verdana" w:cs="Arial"/>
                <w:sz w:val="20"/>
                <w:szCs w:val="20"/>
              </w:rPr>
              <w:t>46,89</w:t>
            </w:r>
            <w:r w:rsidR="00882814" w:rsidRPr="00882814">
              <w:rPr>
                <w:rFonts w:ascii="Verdana" w:hAnsi="Verdana" w:cs="Arial"/>
                <w:sz w:val="20"/>
                <w:szCs w:val="20"/>
              </w:rPr>
              <w:t>%</w:t>
            </w:r>
            <w:r w:rsidRPr="00882814">
              <w:rPr>
                <w:rFonts w:ascii="Verdana" w:hAnsi="Verdana" w:cs="Arial"/>
                <w:sz w:val="20"/>
                <w:szCs w:val="20"/>
              </w:rPr>
              <w:t xml:space="preserve"> correspondientes a gastos del Fondo de Cooperación y Asistencia Internacional – FOCAI</w:t>
            </w:r>
            <w:r w:rsidR="00882814" w:rsidRPr="00882814">
              <w:rPr>
                <w:rFonts w:ascii="Verdana" w:hAnsi="Verdana" w:cs="Arial"/>
                <w:sz w:val="20"/>
                <w:szCs w:val="20"/>
              </w:rPr>
              <w:t xml:space="preserve"> Y el </w:t>
            </w:r>
            <w:r w:rsidR="00962106">
              <w:rPr>
                <w:rFonts w:ascii="Verdana" w:hAnsi="Verdana" w:cs="Arial"/>
                <w:sz w:val="20"/>
                <w:szCs w:val="20"/>
              </w:rPr>
              <w:t>0,16</w:t>
            </w:r>
            <w:r w:rsidR="00882814" w:rsidRPr="00882814">
              <w:rPr>
                <w:rFonts w:ascii="Verdana" w:hAnsi="Verdana" w:cs="Arial"/>
                <w:sz w:val="20"/>
                <w:szCs w:val="20"/>
              </w:rPr>
              <w:t>% a Incapacidades y Licencias de maternidad</w:t>
            </w:r>
            <w:r w:rsidR="007C7246">
              <w:rPr>
                <w:rFonts w:ascii="Verdana" w:hAnsi="Verdana" w:cs="Arial"/>
                <w:sz w:val="20"/>
                <w:szCs w:val="20"/>
              </w:rPr>
              <w:t xml:space="preserve"> y paternidad</w:t>
            </w:r>
            <w:r w:rsidR="00882814" w:rsidRPr="00882814">
              <w:rPr>
                <w:rFonts w:ascii="Verdana" w:hAnsi="Verdana" w:cs="Arial"/>
                <w:sz w:val="20"/>
                <w:szCs w:val="20"/>
              </w:rPr>
              <w:t>.</w:t>
            </w:r>
          </w:p>
          <w:p w:rsidR="008B1B31" w:rsidRPr="00902BE7" w:rsidRDefault="008B1B31" w:rsidP="005F4A60">
            <w:pPr>
              <w:jc w:val="both"/>
              <w:rPr>
                <w:rFonts w:ascii="Verdana" w:hAnsi="Verdana" w:cs="Arial"/>
                <w:sz w:val="20"/>
                <w:szCs w:val="20"/>
              </w:rPr>
            </w:pPr>
          </w:p>
          <w:p w:rsidR="00902BE7" w:rsidRDefault="00902BE7" w:rsidP="005F4A60">
            <w:pPr>
              <w:jc w:val="both"/>
              <w:rPr>
                <w:rFonts w:ascii="Verdana" w:hAnsi="Verdana" w:cs="Arial"/>
                <w:sz w:val="20"/>
                <w:szCs w:val="20"/>
              </w:rPr>
            </w:pPr>
            <w:r w:rsidRPr="00F55472">
              <w:rPr>
                <w:rFonts w:ascii="Verdana" w:hAnsi="Verdana" w:cs="Arial"/>
                <w:sz w:val="20"/>
                <w:szCs w:val="20"/>
              </w:rPr>
              <w:t>La ejecución de</w:t>
            </w:r>
            <w:r w:rsidRPr="00902BE7">
              <w:rPr>
                <w:rFonts w:ascii="Verdana" w:hAnsi="Verdana" w:cs="Arial"/>
                <w:sz w:val="20"/>
                <w:szCs w:val="20"/>
              </w:rPr>
              <w:t xml:space="preserve"> los gastos de inversión estuvo distribuida así: </w:t>
            </w:r>
          </w:p>
          <w:p w:rsidR="00BD3100" w:rsidRDefault="00BD3100" w:rsidP="00897534">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w:t>
            </w:r>
            <w:r w:rsidR="00E80DA3">
              <w:rPr>
                <w:rFonts w:ascii="Verdana" w:hAnsi="Verdana" w:cs="Arial"/>
                <w:sz w:val="20"/>
                <w:szCs w:val="20"/>
              </w:rPr>
              <w:t>7,00</w:t>
            </w:r>
            <w:r>
              <w:rPr>
                <w:rFonts w:ascii="Verdana" w:hAnsi="Verdana" w:cs="Arial"/>
                <w:sz w:val="20"/>
                <w:szCs w:val="20"/>
              </w:rPr>
              <w:t>% de la ejecución de inversión, equivalente a 1.323,5 para el contrato con el ICETEX.</w:t>
            </w:r>
          </w:p>
          <w:p w:rsidR="00897534" w:rsidRDefault="00BD3100" w:rsidP="00897534">
            <w:pPr>
              <w:jc w:val="both"/>
              <w:rPr>
                <w:rFonts w:ascii="Verdana" w:hAnsi="Verdana" w:cs="Arial"/>
                <w:sz w:val="20"/>
                <w:szCs w:val="20"/>
              </w:rPr>
            </w:pPr>
            <w:r>
              <w:rPr>
                <w:rFonts w:ascii="Verdana" w:hAnsi="Verdana" w:cs="Arial"/>
                <w:sz w:val="20"/>
                <w:szCs w:val="20"/>
              </w:rPr>
              <w:t>2</w:t>
            </w:r>
            <w:r w:rsidR="00BD6CAD">
              <w:rPr>
                <w:rFonts w:ascii="Verdana" w:hAnsi="Verdana" w:cs="Arial"/>
                <w:sz w:val="20"/>
                <w:szCs w:val="20"/>
              </w:rPr>
              <w:t>)</w:t>
            </w:r>
            <w:r w:rsidR="00BD6CAD">
              <w:t xml:space="preserve"> I</w:t>
            </w:r>
            <w:r w:rsidR="00BD6CAD" w:rsidRPr="00BD6CAD">
              <w:rPr>
                <w:rFonts w:ascii="Verdana" w:hAnsi="Verdana" w:cs="Arial"/>
                <w:sz w:val="20"/>
                <w:szCs w:val="20"/>
              </w:rPr>
              <w:t>mplementación de proyectos de cooperación internacional no reembolsable con aporte de recursos de contrapartida  nacional</w:t>
            </w:r>
            <w:r w:rsidR="00BD6CAD">
              <w:rPr>
                <w:rFonts w:ascii="Verdana" w:hAnsi="Verdana" w:cs="Arial"/>
                <w:sz w:val="20"/>
                <w:szCs w:val="20"/>
              </w:rPr>
              <w:t xml:space="preserve"> con el </w:t>
            </w:r>
            <w:r w:rsidR="00E80DA3">
              <w:rPr>
                <w:rFonts w:ascii="Verdana" w:hAnsi="Verdana" w:cs="Arial"/>
                <w:sz w:val="20"/>
                <w:szCs w:val="20"/>
              </w:rPr>
              <w:t>4,57</w:t>
            </w:r>
            <w:r w:rsidR="00BD6CAD">
              <w:rPr>
                <w:rFonts w:ascii="Verdana" w:hAnsi="Verdana" w:cs="Arial"/>
                <w:sz w:val="20"/>
                <w:szCs w:val="20"/>
              </w:rPr>
              <w:t>%</w:t>
            </w:r>
            <w:r w:rsidR="00897534">
              <w:rPr>
                <w:rFonts w:ascii="Verdana" w:hAnsi="Verdana" w:cs="Arial"/>
                <w:sz w:val="20"/>
                <w:szCs w:val="20"/>
              </w:rPr>
              <w:t xml:space="preserve"> de la ejecución de inversión, equivalente a </w:t>
            </w:r>
            <w:r w:rsidR="00E80DA3">
              <w:rPr>
                <w:rFonts w:ascii="Verdana" w:hAnsi="Verdana" w:cs="Arial"/>
                <w:sz w:val="20"/>
                <w:szCs w:val="20"/>
              </w:rPr>
              <w:t>865,0</w:t>
            </w:r>
            <w:r w:rsidR="00897534">
              <w:rPr>
                <w:rFonts w:ascii="Verdana" w:hAnsi="Verdana" w:cs="Arial"/>
                <w:sz w:val="20"/>
                <w:szCs w:val="20"/>
              </w:rPr>
              <w:t xml:space="preserve"> millones para </w:t>
            </w:r>
            <w:r w:rsidR="00C00B2D">
              <w:rPr>
                <w:rFonts w:ascii="Verdana" w:hAnsi="Verdana" w:cs="Arial"/>
                <w:sz w:val="20"/>
                <w:szCs w:val="20"/>
              </w:rPr>
              <w:t>los</w:t>
            </w:r>
            <w:r w:rsidR="00897534">
              <w:rPr>
                <w:rFonts w:ascii="Verdana" w:hAnsi="Verdana" w:cs="Arial"/>
                <w:sz w:val="20"/>
                <w:szCs w:val="20"/>
              </w:rPr>
              <w:t xml:space="preserve"> Convenio</w:t>
            </w:r>
            <w:r w:rsidR="00C00B2D">
              <w:rPr>
                <w:rFonts w:ascii="Verdana" w:hAnsi="Verdana" w:cs="Arial"/>
                <w:sz w:val="20"/>
                <w:szCs w:val="20"/>
              </w:rPr>
              <w:t>s</w:t>
            </w:r>
            <w:r w:rsidR="00897534">
              <w:rPr>
                <w:rFonts w:ascii="Verdana" w:hAnsi="Verdana" w:cs="Arial"/>
                <w:sz w:val="20"/>
                <w:szCs w:val="20"/>
              </w:rPr>
              <w:t xml:space="preserve"> interadministrativo</w:t>
            </w:r>
            <w:r w:rsidR="00C00B2D">
              <w:rPr>
                <w:rFonts w:ascii="Verdana" w:hAnsi="Verdana" w:cs="Arial"/>
                <w:sz w:val="20"/>
                <w:szCs w:val="20"/>
              </w:rPr>
              <w:t>s</w:t>
            </w:r>
            <w:r w:rsidR="002F14C2">
              <w:rPr>
                <w:rFonts w:ascii="Verdana" w:hAnsi="Verdana" w:cs="Arial"/>
                <w:sz w:val="20"/>
                <w:szCs w:val="20"/>
              </w:rPr>
              <w:t xml:space="preserve">, </w:t>
            </w:r>
            <w:r w:rsidR="00897534">
              <w:rPr>
                <w:rFonts w:ascii="Verdana" w:hAnsi="Verdana" w:cs="Arial"/>
                <w:sz w:val="20"/>
                <w:szCs w:val="20"/>
              </w:rPr>
              <w:t>con el Hospital local de T</w:t>
            </w:r>
            <w:r w:rsidR="00897534" w:rsidRPr="00BD6CAD">
              <w:rPr>
                <w:rFonts w:ascii="Verdana" w:hAnsi="Verdana" w:cs="Arial"/>
                <w:sz w:val="20"/>
                <w:szCs w:val="20"/>
              </w:rPr>
              <w:t>auramena mediante el aporte de recursos de contrapartida nacional para la dotación de equipos odontológicos y rehabilitación</w:t>
            </w:r>
            <w:r w:rsidR="00C00B2D">
              <w:rPr>
                <w:rFonts w:ascii="Verdana" w:hAnsi="Verdana" w:cs="Arial"/>
                <w:sz w:val="20"/>
                <w:szCs w:val="20"/>
              </w:rPr>
              <w:t>, convenio de asociación  con La Fundación Plan,</w:t>
            </w:r>
            <w:r w:rsidR="00C00B2D" w:rsidRPr="00C00B2D">
              <w:rPr>
                <w:rFonts w:ascii="Verdana" w:hAnsi="Verdana" w:cs="Arial"/>
                <w:sz w:val="20"/>
                <w:szCs w:val="20"/>
              </w:rPr>
              <w:t xml:space="preserve"> para apoyar la constitución de los Grupos de Ahorro y Crédito Local, y el proceso de formación en emprendimiento en tres municipios PDET: Tumaco, Buenaventura y Quibdó</w:t>
            </w:r>
            <w:r w:rsidR="00B93C7F">
              <w:rPr>
                <w:rFonts w:ascii="Verdana" w:hAnsi="Verdana" w:cs="Arial"/>
                <w:sz w:val="20"/>
                <w:szCs w:val="20"/>
              </w:rPr>
              <w:t xml:space="preserve"> y el convenio con La </w:t>
            </w:r>
            <w:r w:rsidR="00B93C7F" w:rsidRPr="00B93C7F">
              <w:rPr>
                <w:rFonts w:ascii="Verdana" w:hAnsi="Verdana" w:cs="Arial"/>
                <w:sz w:val="20"/>
                <w:szCs w:val="20"/>
              </w:rPr>
              <w:t>Fundación Para El Desarrollo Integral Del Pacifico</w:t>
            </w:r>
            <w:r w:rsidR="00B93C7F">
              <w:rPr>
                <w:rFonts w:ascii="Verdana" w:hAnsi="Verdana" w:cs="Arial"/>
                <w:sz w:val="20"/>
                <w:szCs w:val="20"/>
              </w:rPr>
              <w:t>,</w:t>
            </w:r>
            <w:r w:rsidR="000E72B5">
              <w:t xml:space="preserve"> </w:t>
            </w:r>
            <w:r w:rsidR="000E72B5" w:rsidRPr="000E72B5">
              <w:rPr>
                <w:rFonts w:ascii="Verdana" w:hAnsi="Verdana" w:cs="Arial"/>
                <w:sz w:val="20"/>
                <w:szCs w:val="20"/>
              </w:rPr>
              <w:t xml:space="preserve">diseñar un modelo de gobernanza territorial </w:t>
            </w:r>
            <w:r w:rsidR="00B93C7F">
              <w:rPr>
                <w:rFonts w:ascii="Verdana" w:hAnsi="Verdana" w:cs="Arial"/>
                <w:sz w:val="20"/>
                <w:szCs w:val="20"/>
              </w:rPr>
              <w:t xml:space="preserve"> </w:t>
            </w:r>
            <w:r w:rsidR="00B93C7F" w:rsidRPr="00B93C7F">
              <w:rPr>
                <w:rFonts w:ascii="Verdana" w:hAnsi="Verdana" w:cs="Arial"/>
                <w:sz w:val="20"/>
                <w:szCs w:val="20"/>
              </w:rPr>
              <w:t>para mejorar la gestión hospitalaria en dos instituciones prestadoras de servicios de salud</w:t>
            </w:r>
            <w:r w:rsidR="000E72B5">
              <w:rPr>
                <w:rFonts w:ascii="Verdana" w:hAnsi="Verdana" w:cs="Arial"/>
                <w:sz w:val="20"/>
                <w:szCs w:val="20"/>
              </w:rPr>
              <w:t>.</w:t>
            </w:r>
          </w:p>
          <w:p w:rsidR="00902BE7" w:rsidRPr="00902BE7" w:rsidRDefault="00BD3100" w:rsidP="005F4A60">
            <w:pPr>
              <w:jc w:val="both"/>
              <w:rPr>
                <w:rFonts w:ascii="Verdana" w:hAnsi="Verdana" w:cs="Arial"/>
                <w:sz w:val="20"/>
                <w:szCs w:val="20"/>
              </w:rPr>
            </w:pPr>
            <w:r>
              <w:rPr>
                <w:rFonts w:ascii="Verdana" w:hAnsi="Verdana" w:cs="Arial"/>
                <w:sz w:val="20"/>
                <w:szCs w:val="20"/>
              </w:rPr>
              <w:lastRenderedPageBreak/>
              <w:t>3</w:t>
            </w:r>
            <w:r w:rsidR="00902BE7" w:rsidRPr="00902BE7">
              <w:rPr>
                <w:rFonts w:ascii="Verdana" w:hAnsi="Verdana" w:cs="Arial"/>
                <w:sz w:val="20"/>
                <w:szCs w:val="20"/>
              </w:rPr>
              <w:t xml:space="preserve">) Administración de Recursos de Cooperación con el </w:t>
            </w:r>
            <w:r w:rsidR="00812962">
              <w:rPr>
                <w:rFonts w:ascii="Verdana" w:hAnsi="Verdana" w:cs="Arial"/>
                <w:sz w:val="20"/>
                <w:szCs w:val="20"/>
              </w:rPr>
              <w:t>85,88</w:t>
            </w:r>
            <w:r w:rsidR="00902BE7" w:rsidRPr="00902BE7">
              <w:rPr>
                <w:rFonts w:ascii="Verdana" w:hAnsi="Verdana" w:cs="Arial"/>
                <w:sz w:val="20"/>
                <w:szCs w:val="20"/>
              </w:rPr>
              <w:t xml:space="preserve">% de la ejecución en inversión, equivalente a </w:t>
            </w:r>
            <w:r w:rsidR="00812962">
              <w:rPr>
                <w:rFonts w:ascii="Verdana" w:hAnsi="Verdana" w:cs="Arial"/>
                <w:sz w:val="20"/>
                <w:szCs w:val="20"/>
              </w:rPr>
              <w:t>16,245,2</w:t>
            </w:r>
            <w:r w:rsidR="00521F6F">
              <w:rPr>
                <w:rFonts w:ascii="Verdana" w:hAnsi="Verdana" w:cs="Arial"/>
                <w:sz w:val="20"/>
                <w:szCs w:val="20"/>
              </w:rPr>
              <w:t xml:space="preserve"> </w:t>
            </w:r>
            <w:r w:rsidR="00902BE7" w:rsidRPr="00902BE7">
              <w:rPr>
                <w:rFonts w:ascii="Verdana" w:hAnsi="Verdana" w:cs="Arial"/>
                <w:sz w:val="20"/>
                <w:szCs w:val="20"/>
              </w:rPr>
              <w:t xml:space="preserve">millones, distribuidos así: </w:t>
            </w:r>
          </w:p>
          <w:p w:rsidR="00902BE7" w:rsidRPr="00902BE7" w:rsidRDefault="00902BE7" w:rsidP="005F4A60">
            <w:pPr>
              <w:jc w:val="both"/>
              <w:rPr>
                <w:rFonts w:ascii="Verdana" w:hAnsi="Verdana" w:cs="Arial"/>
                <w:sz w:val="20"/>
                <w:szCs w:val="20"/>
              </w:rPr>
            </w:pPr>
            <w:r w:rsidRPr="00902BE7">
              <w:rPr>
                <w:rFonts w:ascii="Verdana" w:hAnsi="Verdana" w:cs="Arial"/>
                <w:sz w:val="20"/>
                <w:szCs w:val="20"/>
              </w:rPr>
              <w:t xml:space="preserve">a) </w:t>
            </w:r>
            <w:r w:rsidR="00C71F8F">
              <w:rPr>
                <w:rFonts w:ascii="Verdana" w:hAnsi="Verdana" w:cs="Arial"/>
                <w:sz w:val="20"/>
                <w:szCs w:val="20"/>
              </w:rPr>
              <w:t>628,8</w:t>
            </w:r>
            <w:r w:rsidRPr="00902BE7">
              <w:rPr>
                <w:rFonts w:ascii="Verdana" w:hAnsi="Verdana" w:cs="Arial"/>
                <w:sz w:val="20"/>
                <w:szCs w:val="20"/>
              </w:rPr>
              <w:t xml:space="preserve"> millones del proyecto, denominado “Inclusión Social de Personas con Discapacidad mediante el Deporte: Fortalecimiento de Estructuras Nacionales Paralímpicas”</w:t>
            </w:r>
          </w:p>
          <w:p w:rsidR="00902BE7" w:rsidRPr="00902BE7" w:rsidRDefault="00994555" w:rsidP="005F4A60">
            <w:pPr>
              <w:jc w:val="both"/>
              <w:rPr>
                <w:rFonts w:ascii="Verdana" w:hAnsi="Verdana" w:cs="Arial"/>
                <w:sz w:val="20"/>
                <w:szCs w:val="20"/>
              </w:rPr>
            </w:pPr>
            <w:r>
              <w:rPr>
                <w:rFonts w:ascii="Verdana" w:hAnsi="Verdana" w:cs="Arial"/>
                <w:sz w:val="20"/>
                <w:szCs w:val="20"/>
              </w:rPr>
              <w:t xml:space="preserve">b) </w:t>
            </w:r>
            <w:r w:rsidR="00521F6F">
              <w:rPr>
                <w:rFonts w:ascii="Verdana" w:hAnsi="Verdana" w:cs="Arial"/>
                <w:sz w:val="20"/>
                <w:szCs w:val="20"/>
              </w:rPr>
              <w:t>1.</w:t>
            </w:r>
            <w:r w:rsidR="00C71F8F">
              <w:rPr>
                <w:rFonts w:ascii="Verdana" w:hAnsi="Verdana" w:cs="Arial"/>
                <w:sz w:val="20"/>
                <w:szCs w:val="20"/>
              </w:rPr>
              <w:t>618</w:t>
            </w:r>
            <w:r w:rsidR="00521F6F">
              <w:rPr>
                <w:rFonts w:ascii="Verdana" w:hAnsi="Verdana" w:cs="Arial"/>
                <w:sz w:val="20"/>
                <w:szCs w:val="20"/>
              </w:rPr>
              <w:t>,</w:t>
            </w:r>
            <w:r w:rsidR="00C71F8F">
              <w:rPr>
                <w:rFonts w:ascii="Verdana" w:hAnsi="Verdana" w:cs="Arial"/>
                <w:sz w:val="20"/>
                <w:szCs w:val="20"/>
              </w:rPr>
              <w:t>0</w:t>
            </w:r>
            <w:r w:rsidR="00902BE7" w:rsidRPr="00902BE7">
              <w:rPr>
                <w:rFonts w:ascii="Verdana" w:hAnsi="Verdana" w:cs="Arial"/>
                <w:sz w:val="20"/>
                <w:szCs w:val="20"/>
              </w:rPr>
              <w:t xml:space="preserve"> millones del proyecto “Estrategia regional de emprendimiento” financiado con recursos donados por la Unión Europea.</w:t>
            </w:r>
          </w:p>
          <w:p w:rsidR="00902BE7" w:rsidRDefault="00902BE7" w:rsidP="005F4A60">
            <w:pPr>
              <w:jc w:val="both"/>
              <w:rPr>
                <w:rFonts w:ascii="Verdana" w:hAnsi="Verdana" w:cs="Arial"/>
                <w:sz w:val="20"/>
                <w:szCs w:val="20"/>
              </w:rPr>
            </w:pPr>
            <w:r w:rsidRPr="00902BE7">
              <w:rPr>
                <w:rFonts w:ascii="Verdana" w:hAnsi="Verdana" w:cs="Arial"/>
                <w:sz w:val="20"/>
                <w:szCs w:val="20"/>
              </w:rPr>
              <w:t xml:space="preserve">c) </w:t>
            </w:r>
            <w:r w:rsidR="00C71F8F">
              <w:rPr>
                <w:rFonts w:ascii="Verdana" w:hAnsi="Verdana" w:cs="Arial"/>
                <w:sz w:val="20"/>
                <w:szCs w:val="20"/>
              </w:rPr>
              <w:t>13.652</w:t>
            </w:r>
            <w:r w:rsidR="00994555">
              <w:rPr>
                <w:rFonts w:ascii="Verdana" w:hAnsi="Verdana" w:cs="Arial"/>
                <w:sz w:val="20"/>
                <w:szCs w:val="20"/>
              </w:rPr>
              <w:t>,</w:t>
            </w:r>
            <w:r w:rsidR="00C71F8F">
              <w:rPr>
                <w:rFonts w:ascii="Verdana" w:hAnsi="Verdana" w:cs="Arial"/>
                <w:sz w:val="20"/>
                <w:szCs w:val="20"/>
              </w:rPr>
              <w:t>8</w:t>
            </w:r>
            <w:r w:rsidRPr="00902BE7">
              <w:rPr>
                <w:rFonts w:ascii="Verdana" w:hAnsi="Verdana" w:cs="Arial"/>
                <w:sz w:val="20"/>
                <w:szCs w:val="20"/>
              </w:rPr>
              <w:t xml:space="preserve"> millones por cuenta del proyecto de desminado terrestre en el marco del convenio de subvención firmado con la fundación Howard </w:t>
            </w:r>
            <w:r w:rsidR="00C639E9" w:rsidRPr="00902BE7">
              <w:rPr>
                <w:rFonts w:ascii="Verdana" w:hAnsi="Verdana" w:cs="Arial"/>
                <w:sz w:val="20"/>
                <w:szCs w:val="20"/>
              </w:rPr>
              <w:t>Buffet</w:t>
            </w:r>
            <w:r w:rsidRPr="00902BE7">
              <w:rPr>
                <w:rFonts w:ascii="Verdana" w:hAnsi="Verdana" w:cs="Arial"/>
                <w:sz w:val="20"/>
                <w:szCs w:val="20"/>
              </w:rPr>
              <w:t>.</w:t>
            </w:r>
          </w:p>
          <w:p w:rsidR="00C639E9" w:rsidRDefault="00C639E9" w:rsidP="005F4A60">
            <w:pPr>
              <w:jc w:val="both"/>
              <w:rPr>
                <w:rFonts w:ascii="Verdana" w:hAnsi="Verdana" w:cs="Arial"/>
                <w:sz w:val="20"/>
                <w:szCs w:val="20"/>
              </w:rPr>
            </w:pPr>
            <w:r>
              <w:rPr>
                <w:rFonts w:ascii="Verdana" w:hAnsi="Verdana" w:cs="Arial"/>
                <w:sz w:val="20"/>
                <w:szCs w:val="20"/>
              </w:rPr>
              <w:t xml:space="preserve">d) </w:t>
            </w:r>
            <w:r w:rsidR="00721170">
              <w:rPr>
                <w:rFonts w:ascii="Verdana" w:hAnsi="Verdana" w:cs="Arial"/>
                <w:sz w:val="20"/>
                <w:szCs w:val="20"/>
              </w:rPr>
              <w:t>325</w:t>
            </w:r>
            <w:r w:rsidR="00521F6F">
              <w:rPr>
                <w:rFonts w:ascii="Verdana" w:hAnsi="Verdana" w:cs="Arial"/>
                <w:sz w:val="20"/>
                <w:szCs w:val="20"/>
              </w:rPr>
              <w:t>,</w:t>
            </w:r>
            <w:r w:rsidR="00721170">
              <w:rPr>
                <w:rFonts w:ascii="Verdana" w:hAnsi="Verdana" w:cs="Arial"/>
                <w:sz w:val="20"/>
                <w:szCs w:val="20"/>
              </w:rPr>
              <w:t>3</w:t>
            </w:r>
            <w:r>
              <w:rPr>
                <w:rFonts w:ascii="Verdana" w:hAnsi="Verdana" w:cs="Arial"/>
                <w:sz w:val="20"/>
                <w:szCs w:val="20"/>
              </w:rPr>
              <w:t xml:space="preserve"> millones del proyecto Fondo Verde del Clima.</w:t>
            </w:r>
          </w:p>
          <w:p w:rsidR="00721170" w:rsidRDefault="00721170" w:rsidP="005F4A60">
            <w:pPr>
              <w:jc w:val="both"/>
              <w:rPr>
                <w:rFonts w:ascii="Verdana" w:hAnsi="Verdana" w:cs="Arial"/>
                <w:sz w:val="20"/>
                <w:szCs w:val="20"/>
              </w:rPr>
            </w:pPr>
            <w:r>
              <w:rPr>
                <w:rFonts w:ascii="Verdana" w:hAnsi="Verdana" w:cs="Arial"/>
                <w:sz w:val="20"/>
                <w:szCs w:val="20"/>
              </w:rPr>
              <w:t xml:space="preserve">e) 20,0 millones del proyecto </w:t>
            </w:r>
            <w:r w:rsidR="00775969">
              <w:rPr>
                <w:rFonts w:ascii="Verdana" w:hAnsi="Verdana" w:cs="Arial"/>
                <w:sz w:val="20"/>
                <w:szCs w:val="20"/>
              </w:rPr>
              <w:t xml:space="preserve">con </w:t>
            </w:r>
            <w:r>
              <w:rPr>
                <w:rFonts w:ascii="Verdana" w:hAnsi="Verdana" w:cs="Arial"/>
                <w:sz w:val="20"/>
                <w:szCs w:val="20"/>
              </w:rPr>
              <w:t>Corporación Andina de Fomento-CAF.</w:t>
            </w:r>
          </w:p>
          <w:p w:rsidR="00CE57ED" w:rsidRPr="00902BE7" w:rsidRDefault="00CE57ED" w:rsidP="005F4A60">
            <w:pPr>
              <w:jc w:val="both"/>
              <w:rPr>
                <w:rFonts w:ascii="Verdana" w:hAnsi="Verdana" w:cs="Arial"/>
                <w:sz w:val="20"/>
                <w:szCs w:val="20"/>
              </w:rPr>
            </w:pPr>
          </w:p>
          <w:p w:rsidR="0057344D" w:rsidRPr="0057344D" w:rsidRDefault="00E7783B" w:rsidP="0057344D">
            <w:pPr>
              <w:jc w:val="both"/>
              <w:rPr>
                <w:rFonts w:ascii="Verdana" w:hAnsi="Verdana" w:cs="Arial"/>
                <w:sz w:val="20"/>
                <w:szCs w:val="20"/>
              </w:rPr>
            </w:pPr>
            <w:r>
              <w:rPr>
                <w:rFonts w:ascii="Verdana" w:hAnsi="Verdana" w:cs="Arial"/>
                <w:sz w:val="20"/>
                <w:szCs w:val="20"/>
              </w:rPr>
              <w:t>4</w:t>
            </w:r>
            <w:r w:rsidR="00902BE7" w:rsidRPr="00902BE7">
              <w:rPr>
                <w:rFonts w:ascii="Verdana" w:hAnsi="Verdana" w:cs="Arial"/>
                <w:sz w:val="20"/>
                <w:szCs w:val="20"/>
              </w:rPr>
              <w:t xml:space="preserve">) Fortalecimiento de las capacidades tecnológicas de la información en APC-COLOMBIA, con el </w:t>
            </w:r>
            <w:r w:rsidR="0057344D">
              <w:rPr>
                <w:rFonts w:ascii="Verdana" w:hAnsi="Verdana" w:cs="Arial"/>
                <w:sz w:val="20"/>
                <w:szCs w:val="20"/>
              </w:rPr>
              <w:t>2,54</w:t>
            </w:r>
            <w:r w:rsidR="00902BE7" w:rsidRPr="00902BE7">
              <w:rPr>
                <w:rFonts w:ascii="Verdana" w:hAnsi="Verdana" w:cs="Arial"/>
                <w:sz w:val="20"/>
                <w:szCs w:val="20"/>
              </w:rPr>
              <w:t xml:space="preserve">% de la ejecución en inversión, equivalente a </w:t>
            </w:r>
            <w:r w:rsidR="0057344D">
              <w:rPr>
                <w:rFonts w:ascii="Verdana" w:hAnsi="Verdana" w:cs="Arial"/>
                <w:sz w:val="20"/>
                <w:szCs w:val="20"/>
              </w:rPr>
              <w:t>481,4</w:t>
            </w:r>
            <w:r w:rsidR="00902BE7" w:rsidRPr="00902BE7">
              <w:rPr>
                <w:rFonts w:ascii="Verdana" w:hAnsi="Verdana" w:cs="Arial"/>
                <w:sz w:val="20"/>
                <w:szCs w:val="20"/>
              </w:rPr>
              <w:t xml:space="preserve"> millones para los servicios profesional</w:t>
            </w:r>
            <w:r w:rsidR="008E5EEA">
              <w:rPr>
                <w:rFonts w:ascii="Verdana" w:hAnsi="Verdana" w:cs="Arial"/>
                <w:sz w:val="20"/>
                <w:szCs w:val="20"/>
              </w:rPr>
              <w:t xml:space="preserve">es para la gestión del proyecto y </w:t>
            </w:r>
            <w:r w:rsidR="0057344D">
              <w:rPr>
                <w:rFonts w:ascii="Verdana" w:hAnsi="Verdana" w:cs="Arial"/>
                <w:sz w:val="20"/>
                <w:szCs w:val="20"/>
              </w:rPr>
              <w:t>los</w:t>
            </w:r>
            <w:r w:rsidR="008E5EEA">
              <w:rPr>
                <w:rFonts w:ascii="Verdana" w:hAnsi="Verdana" w:cs="Arial"/>
                <w:sz w:val="20"/>
                <w:szCs w:val="20"/>
              </w:rPr>
              <w:t xml:space="preserve"> contrato</w:t>
            </w:r>
            <w:r w:rsidR="0057344D">
              <w:rPr>
                <w:rFonts w:ascii="Verdana" w:hAnsi="Verdana" w:cs="Arial"/>
                <w:sz w:val="20"/>
                <w:szCs w:val="20"/>
              </w:rPr>
              <w:t>s</w:t>
            </w:r>
            <w:r w:rsidR="008E5EEA">
              <w:rPr>
                <w:rFonts w:ascii="Verdana" w:hAnsi="Verdana" w:cs="Arial"/>
                <w:sz w:val="20"/>
                <w:szCs w:val="20"/>
              </w:rPr>
              <w:t xml:space="preserve"> con  la </w:t>
            </w:r>
            <w:r w:rsidR="0057344D">
              <w:rPr>
                <w:rFonts w:ascii="Verdana" w:hAnsi="Verdana" w:cs="Arial"/>
                <w:sz w:val="20"/>
                <w:szCs w:val="20"/>
              </w:rPr>
              <w:t>Unión Temporal Seguridad-Nas, para</w:t>
            </w:r>
            <w:r w:rsidR="0057344D" w:rsidRPr="0057344D">
              <w:rPr>
                <w:rFonts w:ascii="Verdana" w:hAnsi="Verdana" w:cs="Arial"/>
                <w:sz w:val="20"/>
                <w:szCs w:val="20"/>
              </w:rPr>
              <w:t xml:space="preserve"> salvaguardar la información de los equipos de cómputo y red</w:t>
            </w:r>
            <w:r w:rsidR="0057344D">
              <w:rPr>
                <w:rFonts w:ascii="Verdana" w:hAnsi="Verdana" w:cs="Arial"/>
                <w:sz w:val="20"/>
                <w:szCs w:val="20"/>
              </w:rPr>
              <w:t xml:space="preserve">, con </w:t>
            </w:r>
            <w:r w:rsidR="0057344D" w:rsidRPr="0057344D">
              <w:rPr>
                <w:rFonts w:ascii="Verdana" w:hAnsi="Verdana" w:cs="Arial"/>
                <w:sz w:val="20"/>
                <w:szCs w:val="20"/>
              </w:rPr>
              <w:t>Ximil Technologies SAS</w:t>
            </w:r>
            <w:r w:rsidR="0057344D">
              <w:rPr>
                <w:rFonts w:ascii="Verdana" w:hAnsi="Verdana" w:cs="Arial"/>
                <w:sz w:val="20"/>
                <w:szCs w:val="20"/>
              </w:rPr>
              <w:t xml:space="preserve"> </w:t>
            </w:r>
            <w:r w:rsidR="0057344D" w:rsidRPr="0057344D">
              <w:rPr>
                <w:rFonts w:ascii="Verdana" w:hAnsi="Verdana" w:cs="Arial"/>
                <w:sz w:val="20"/>
                <w:szCs w:val="20"/>
              </w:rPr>
              <w:t>para dar soporte  y mantenimiento del sistema documental ORFEOGOB</w:t>
            </w:r>
            <w:r w:rsidR="0057344D">
              <w:rPr>
                <w:rFonts w:ascii="Verdana" w:hAnsi="Verdana" w:cs="Arial"/>
                <w:sz w:val="20"/>
                <w:szCs w:val="20"/>
              </w:rPr>
              <w:t xml:space="preserve"> y el </w:t>
            </w:r>
            <w:r w:rsidR="0057344D" w:rsidRPr="0057344D">
              <w:rPr>
                <w:rFonts w:ascii="Verdana" w:hAnsi="Verdana" w:cs="Arial"/>
                <w:sz w:val="20"/>
                <w:szCs w:val="20"/>
              </w:rPr>
              <w:t>contrato con la Unión Soluciones Sistemas De Información S.A.S para mejoras y capacitaciones para los sistemas SARA Y SOFIA.</w:t>
            </w:r>
          </w:p>
          <w:p w:rsidR="00902BE7" w:rsidRPr="0057344D" w:rsidRDefault="00902BE7" w:rsidP="005F4A60">
            <w:pPr>
              <w:jc w:val="both"/>
              <w:rPr>
                <w:rFonts w:ascii="Verdana" w:hAnsi="Verdana" w:cs="Arial"/>
                <w:sz w:val="20"/>
                <w:szCs w:val="20"/>
              </w:rPr>
            </w:pPr>
          </w:p>
          <w:p w:rsidR="00902BE7" w:rsidRPr="0057344D" w:rsidRDefault="00902BE7" w:rsidP="00902BE7">
            <w:pPr>
              <w:jc w:val="both"/>
              <w:rPr>
                <w:rFonts w:ascii="Verdana" w:hAnsi="Verdana" w:cs="Arial"/>
                <w:sz w:val="20"/>
                <w:szCs w:val="20"/>
              </w:rPr>
            </w:pPr>
          </w:p>
          <w:p w:rsidR="00F57B74" w:rsidRPr="003C58A7" w:rsidRDefault="00F57B74" w:rsidP="00F57B74">
            <w:pPr>
              <w:jc w:val="both"/>
              <w:rPr>
                <w:rFonts w:ascii="Verdana" w:hAnsi="Verdana"/>
                <w:sz w:val="20"/>
                <w:szCs w:val="20"/>
              </w:rPr>
            </w:pPr>
          </w:p>
        </w:tc>
        <w:tc>
          <w:tcPr>
            <w:tcW w:w="0" w:type="auto"/>
            <w:shd w:val="clear" w:color="auto" w:fill="auto"/>
            <w:vAlign w:val="center"/>
          </w:tcPr>
          <w:p w:rsidR="007C68D7" w:rsidRPr="007C68D7" w:rsidRDefault="007C68D7" w:rsidP="007C68D7">
            <w:pPr>
              <w:jc w:val="both"/>
              <w:rPr>
                <w:rFonts w:ascii="Verdana" w:hAnsi="Verdana" w:cs="Arial"/>
                <w:sz w:val="20"/>
                <w:szCs w:val="20"/>
              </w:rPr>
            </w:pPr>
            <w:r w:rsidRPr="007C68D7">
              <w:rPr>
                <w:rFonts w:ascii="Verdana" w:hAnsi="Verdana" w:cs="Arial"/>
                <w:b/>
                <w:sz w:val="20"/>
                <w:szCs w:val="20"/>
              </w:rPr>
              <w:lastRenderedPageBreak/>
              <w:t>Indicador:</w:t>
            </w:r>
            <w:r w:rsidRPr="007C68D7">
              <w:rPr>
                <w:rFonts w:ascii="Verdana" w:hAnsi="Verdana" w:cs="Arial"/>
                <w:sz w:val="20"/>
                <w:szCs w:val="20"/>
              </w:rPr>
              <w:t xml:space="preserve"> Ejecución Obligaciones / Apropiación Vigente.</w:t>
            </w:r>
          </w:p>
          <w:p w:rsidR="007C68D7" w:rsidRPr="007C68D7" w:rsidRDefault="007C68D7" w:rsidP="007C68D7">
            <w:pPr>
              <w:jc w:val="both"/>
              <w:rPr>
                <w:rFonts w:ascii="Verdana" w:hAnsi="Verdana" w:cs="Arial"/>
                <w:sz w:val="20"/>
                <w:szCs w:val="20"/>
              </w:rPr>
            </w:pPr>
            <w:r w:rsidRPr="007C68D7">
              <w:rPr>
                <w:rFonts w:ascii="Verdana" w:hAnsi="Verdana" w:cs="Arial"/>
                <w:b/>
                <w:sz w:val="20"/>
                <w:szCs w:val="20"/>
              </w:rPr>
              <w:t>Indicador:</w:t>
            </w:r>
            <w:r w:rsidRPr="007C68D7">
              <w:rPr>
                <w:rFonts w:ascii="Verdana" w:hAnsi="Verdana" w:cs="Arial"/>
                <w:sz w:val="20"/>
                <w:szCs w:val="20"/>
              </w:rPr>
              <w:t xml:space="preserve"> </w:t>
            </w:r>
            <w:r w:rsidR="00541CE0">
              <w:rPr>
                <w:rFonts w:ascii="Verdana" w:hAnsi="Verdana" w:cs="Arial"/>
                <w:sz w:val="20"/>
                <w:szCs w:val="20"/>
              </w:rPr>
              <w:t>13.734</w:t>
            </w:r>
            <w:r w:rsidR="00C31EA9">
              <w:rPr>
                <w:rFonts w:ascii="Verdana" w:hAnsi="Verdana" w:cs="Arial"/>
                <w:sz w:val="20"/>
                <w:szCs w:val="20"/>
              </w:rPr>
              <w:t>,</w:t>
            </w:r>
            <w:r w:rsidR="00541CE0">
              <w:rPr>
                <w:rFonts w:ascii="Verdana" w:hAnsi="Verdana" w:cs="Arial"/>
                <w:sz w:val="20"/>
                <w:szCs w:val="20"/>
              </w:rPr>
              <w:t>8</w:t>
            </w:r>
            <w:r w:rsidRPr="007C68D7">
              <w:rPr>
                <w:rFonts w:ascii="Verdana" w:hAnsi="Verdana" w:cs="Arial"/>
                <w:sz w:val="20"/>
                <w:szCs w:val="20"/>
              </w:rPr>
              <w:t xml:space="preserve"> / 94.033,1 = </w:t>
            </w:r>
            <w:r w:rsidR="00541CE0">
              <w:rPr>
                <w:rFonts w:ascii="Verdana" w:hAnsi="Verdana" w:cs="Arial"/>
                <w:sz w:val="20"/>
                <w:szCs w:val="20"/>
              </w:rPr>
              <w:t>14,61</w:t>
            </w:r>
            <w:r w:rsidRPr="007C68D7">
              <w:rPr>
                <w:rFonts w:ascii="Verdana" w:hAnsi="Verdana" w:cs="Arial"/>
                <w:sz w:val="20"/>
                <w:szCs w:val="20"/>
              </w:rPr>
              <w:t>%.</w:t>
            </w:r>
          </w:p>
          <w:p w:rsidR="005F4A60" w:rsidRPr="007C68D7" w:rsidRDefault="005F4A60" w:rsidP="007C68D7">
            <w:pPr>
              <w:jc w:val="both"/>
              <w:rPr>
                <w:rFonts w:ascii="Verdana" w:hAnsi="Verdana" w:cs="Arial"/>
                <w:sz w:val="20"/>
                <w:szCs w:val="20"/>
              </w:rPr>
            </w:pPr>
          </w:p>
          <w:p w:rsidR="00D06491" w:rsidRDefault="007C68D7" w:rsidP="00F906B1">
            <w:pPr>
              <w:jc w:val="both"/>
              <w:rPr>
                <w:rFonts w:ascii="Verdana" w:hAnsi="Verdana" w:cs="Arial"/>
                <w:sz w:val="20"/>
                <w:szCs w:val="20"/>
              </w:rPr>
            </w:pPr>
            <w:r w:rsidRPr="007C68D7">
              <w:rPr>
                <w:rFonts w:ascii="Verdana" w:hAnsi="Verdana" w:cs="Arial"/>
                <w:sz w:val="20"/>
                <w:szCs w:val="20"/>
                <w:lang w:val="es-CO"/>
              </w:rPr>
              <w:t xml:space="preserve">Con corte al </w:t>
            </w:r>
            <w:r w:rsidR="00C31EA9">
              <w:rPr>
                <w:rFonts w:ascii="Verdana" w:hAnsi="Verdana" w:cs="Arial"/>
                <w:sz w:val="20"/>
                <w:szCs w:val="20"/>
                <w:lang w:val="es-CO"/>
              </w:rPr>
              <w:t xml:space="preserve">31 de </w:t>
            </w:r>
            <w:r w:rsidR="00E02537">
              <w:rPr>
                <w:rFonts w:ascii="Verdana" w:hAnsi="Verdana" w:cs="Arial"/>
                <w:sz w:val="20"/>
                <w:szCs w:val="20"/>
                <w:lang w:val="es-CO"/>
              </w:rPr>
              <w:t>agosto</w:t>
            </w:r>
            <w:r w:rsidRPr="007C68D7">
              <w:rPr>
                <w:rFonts w:ascii="Verdana" w:hAnsi="Verdana" w:cs="Arial"/>
                <w:sz w:val="20"/>
                <w:szCs w:val="20"/>
                <w:lang w:val="es-CO"/>
              </w:rPr>
              <w:t xml:space="preserve"> de 2019, </w:t>
            </w:r>
            <w:r w:rsidR="00C55089">
              <w:rPr>
                <w:rFonts w:ascii="Verdana" w:hAnsi="Verdana" w:cs="Arial"/>
                <w:sz w:val="20"/>
                <w:szCs w:val="20"/>
                <w:lang w:val="es-CO"/>
              </w:rPr>
              <w:t xml:space="preserve">la ejecución presupuestal de la </w:t>
            </w:r>
            <w:r w:rsidRPr="007C68D7">
              <w:rPr>
                <w:rFonts w:ascii="Verdana" w:hAnsi="Verdana" w:cs="Arial"/>
                <w:sz w:val="20"/>
                <w:szCs w:val="20"/>
                <w:lang w:val="es-CO"/>
              </w:rPr>
              <w:t xml:space="preserve">entidad en materia de obligaciones fue del </w:t>
            </w:r>
            <w:r w:rsidR="00E02537">
              <w:rPr>
                <w:rFonts w:ascii="Verdana" w:hAnsi="Verdana" w:cs="Arial"/>
                <w:sz w:val="20"/>
                <w:szCs w:val="20"/>
                <w:lang w:val="es-CO"/>
              </w:rPr>
              <w:t>14,61</w:t>
            </w:r>
            <w:r w:rsidR="001D1F74" w:rsidRPr="00C55089">
              <w:rPr>
                <w:rFonts w:ascii="Verdana" w:hAnsi="Verdana" w:cs="Arial"/>
                <w:sz w:val="20"/>
                <w:szCs w:val="20"/>
                <w:lang w:val="es-CO"/>
              </w:rPr>
              <w:t xml:space="preserve">% </w:t>
            </w:r>
            <w:r w:rsidRPr="007C68D7">
              <w:rPr>
                <w:rFonts w:ascii="Verdana" w:hAnsi="Verdana" w:cs="Arial"/>
                <w:sz w:val="20"/>
                <w:szCs w:val="20"/>
                <w:lang w:val="es-CO"/>
              </w:rPr>
              <w:t xml:space="preserve">equivalente a </w:t>
            </w:r>
            <w:r w:rsidR="00E02537">
              <w:rPr>
                <w:rFonts w:ascii="Verdana" w:hAnsi="Verdana" w:cs="Arial"/>
                <w:sz w:val="20"/>
                <w:szCs w:val="20"/>
                <w:lang w:val="es-CO"/>
              </w:rPr>
              <w:t>13.734,8</w:t>
            </w:r>
            <w:r w:rsidR="001D1F74" w:rsidRPr="00C55089">
              <w:rPr>
                <w:rFonts w:ascii="Verdana" w:hAnsi="Verdana" w:cs="Arial"/>
                <w:sz w:val="20"/>
                <w:szCs w:val="20"/>
                <w:lang w:val="es-CO"/>
              </w:rPr>
              <w:t xml:space="preserve"> </w:t>
            </w:r>
            <w:r w:rsidRPr="007C68D7">
              <w:rPr>
                <w:rFonts w:ascii="Verdana" w:hAnsi="Verdana" w:cs="Arial"/>
                <w:sz w:val="20"/>
                <w:szCs w:val="20"/>
                <w:lang w:val="es-CO"/>
              </w:rPr>
              <w:t xml:space="preserve">millones, frente a una meta del </w:t>
            </w:r>
            <w:r w:rsidR="00E02537">
              <w:rPr>
                <w:rFonts w:ascii="Verdana" w:hAnsi="Verdana" w:cs="Arial"/>
                <w:sz w:val="20"/>
                <w:szCs w:val="20"/>
                <w:lang w:val="es-CO"/>
              </w:rPr>
              <w:t>22,33</w:t>
            </w:r>
            <w:r w:rsidR="000842C8">
              <w:rPr>
                <w:rFonts w:ascii="Verdana" w:hAnsi="Verdana" w:cs="Arial"/>
                <w:sz w:val="20"/>
                <w:szCs w:val="20"/>
                <w:lang w:val="es-CO"/>
              </w:rPr>
              <w:t>%</w:t>
            </w:r>
            <w:r w:rsidRPr="007C68D7">
              <w:rPr>
                <w:rFonts w:ascii="Verdana" w:hAnsi="Verdana" w:cs="Arial"/>
                <w:sz w:val="20"/>
                <w:szCs w:val="20"/>
                <w:lang w:val="es-CO"/>
              </w:rPr>
              <w:t xml:space="preserve"> con un </w:t>
            </w:r>
            <w:r w:rsidR="00E02537">
              <w:rPr>
                <w:rFonts w:ascii="Verdana" w:hAnsi="Verdana" w:cs="Arial"/>
                <w:sz w:val="20"/>
                <w:szCs w:val="20"/>
                <w:lang w:val="es-CO"/>
              </w:rPr>
              <w:t>Déficit</w:t>
            </w:r>
            <w:r w:rsidR="000842C8">
              <w:rPr>
                <w:rFonts w:ascii="Verdana" w:hAnsi="Verdana" w:cs="Arial"/>
                <w:sz w:val="20"/>
                <w:szCs w:val="20"/>
                <w:lang w:val="es-CO"/>
              </w:rPr>
              <w:t xml:space="preserve"> </w:t>
            </w:r>
            <w:r w:rsidRPr="007C68D7">
              <w:rPr>
                <w:rFonts w:ascii="Verdana" w:hAnsi="Verdana" w:cs="Arial"/>
                <w:sz w:val="20"/>
                <w:szCs w:val="20"/>
                <w:lang w:val="es-CO"/>
              </w:rPr>
              <w:t xml:space="preserve"> de </w:t>
            </w:r>
            <w:r w:rsidR="00E02537">
              <w:rPr>
                <w:rFonts w:ascii="Verdana" w:hAnsi="Verdana" w:cs="Arial"/>
                <w:sz w:val="20"/>
                <w:szCs w:val="20"/>
                <w:lang w:val="es-CO"/>
              </w:rPr>
              <w:t>7.259,7</w:t>
            </w:r>
            <w:r w:rsidRPr="007C68D7">
              <w:rPr>
                <w:rFonts w:ascii="Verdana" w:hAnsi="Verdana" w:cs="Arial"/>
                <w:sz w:val="20"/>
                <w:szCs w:val="20"/>
                <w:lang w:val="es-CO"/>
              </w:rPr>
              <w:t xml:space="preserve"> millones, el cual se explica así</w:t>
            </w:r>
            <w:r w:rsidRPr="00C55089">
              <w:rPr>
                <w:rFonts w:ascii="Verdana" w:hAnsi="Verdana" w:cs="Arial"/>
                <w:sz w:val="20"/>
                <w:szCs w:val="20"/>
                <w:lang w:val="es-CO"/>
              </w:rPr>
              <w:t xml:space="preserve">: </w:t>
            </w:r>
            <w:r w:rsidR="00C55089" w:rsidRPr="00C55089">
              <w:rPr>
                <w:rFonts w:ascii="Verdana" w:hAnsi="Verdana" w:cs="Arial"/>
                <w:b/>
                <w:sz w:val="20"/>
                <w:szCs w:val="20"/>
                <w:lang w:val="es-CO"/>
              </w:rPr>
              <w:t>A)</w:t>
            </w:r>
            <w:r w:rsidR="00C55089">
              <w:rPr>
                <w:rFonts w:ascii="Verdana" w:hAnsi="Verdana" w:cs="Arial"/>
                <w:b/>
                <w:sz w:val="20"/>
                <w:szCs w:val="20"/>
                <w:lang w:val="es-CO"/>
              </w:rPr>
              <w:t>F</w:t>
            </w:r>
            <w:r w:rsidRPr="00C55089">
              <w:rPr>
                <w:rFonts w:ascii="Verdana" w:hAnsi="Verdana" w:cs="Arial"/>
                <w:b/>
                <w:sz w:val="20"/>
                <w:szCs w:val="20"/>
                <w:lang w:val="es-CO"/>
              </w:rPr>
              <w:t>uncionamiento:</w:t>
            </w:r>
            <w:r w:rsidRPr="00C55089">
              <w:rPr>
                <w:rFonts w:ascii="Verdana" w:hAnsi="Verdana" w:cs="Arial"/>
                <w:sz w:val="20"/>
                <w:szCs w:val="20"/>
                <w:lang w:val="es-CO"/>
              </w:rPr>
              <w:t xml:space="preserve"> </w:t>
            </w:r>
            <w:r w:rsidR="000842C8" w:rsidRPr="00C55089">
              <w:rPr>
                <w:rFonts w:ascii="Verdana" w:hAnsi="Verdana" w:cs="Arial"/>
                <w:sz w:val="20"/>
                <w:szCs w:val="20"/>
                <w:lang w:val="es-CO"/>
              </w:rPr>
              <w:t xml:space="preserve">1) </w:t>
            </w:r>
            <w:r w:rsidR="00A46C5E" w:rsidRPr="00C55089">
              <w:rPr>
                <w:rFonts w:ascii="Verdana" w:hAnsi="Verdana" w:cs="Arial"/>
                <w:sz w:val="20"/>
                <w:szCs w:val="20"/>
                <w:lang w:val="es-CO"/>
              </w:rPr>
              <w:t>Superávit</w:t>
            </w:r>
            <w:r w:rsidR="000842C8" w:rsidRPr="00C55089">
              <w:rPr>
                <w:rFonts w:ascii="Verdana" w:hAnsi="Verdana" w:cs="Arial"/>
                <w:sz w:val="20"/>
                <w:szCs w:val="20"/>
                <w:lang w:val="es-CO"/>
              </w:rPr>
              <w:t xml:space="preserve">  en la ejecución de gastos de personal por </w:t>
            </w:r>
            <w:r w:rsidR="00211CC2">
              <w:rPr>
                <w:rFonts w:ascii="Verdana" w:hAnsi="Verdana" w:cs="Arial"/>
                <w:sz w:val="20"/>
                <w:szCs w:val="20"/>
                <w:lang w:val="es-CO"/>
              </w:rPr>
              <w:t>88,9</w:t>
            </w:r>
            <w:r w:rsidR="000842C8" w:rsidRPr="00C55089">
              <w:rPr>
                <w:rFonts w:ascii="Verdana" w:hAnsi="Verdana" w:cs="Arial"/>
                <w:sz w:val="20"/>
                <w:szCs w:val="20"/>
                <w:lang w:val="es-CO"/>
              </w:rPr>
              <w:t xml:space="preserve"> millones, </w:t>
            </w:r>
            <w:r w:rsidR="00B020F0" w:rsidRPr="00C55089">
              <w:rPr>
                <w:rFonts w:ascii="Verdana" w:hAnsi="Verdana" w:cs="Arial"/>
                <w:sz w:val="20"/>
                <w:szCs w:val="20"/>
                <w:lang w:val="es-CO"/>
              </w:rPr>
              <w:t>se cumplió la meta.</w:t>
            </w:r>
            <w:r w:rsidRPr="00C55089">
              <w:rPr>
                <w:rFonts w:ascii="Verdana" w:hAnsi="Verdana" w:cs="Arial"/>
                <w:sz w:val="20"/>
                <w:szCs w:val="20"/>
                <w:lang w:val="es-CO"/>
              </w:rPr>
              <w:t xml:space="preserve">2) </w:t>
            </w:r>
            <w:r w:rsidR="00B020F0" w:rsidRPr="00C55089">
              <w:rPr>
                <w:rFonts w:ascii="Verdana" w:hAnsi="Verdana" w:cs="Arial"/>
                <w:sz w:val="20"/>
                <w:szCs w:val="20"/>
                <w:lang w:val="es-CO"/>
              </w:rPr>
              <w:t>Superávit</w:t>
            </w:r>
            <w:r w:rsidRPr="00C55089">
              <w:rPr>
                <w:rFonts w:ascii="Verdana" w:hAnsi="Verdana" w:cs="Arial"/>
                <w:sz w:val="20"/>
                <w:szCs w:val="20"/>
                <w:lang w:val="es-CO"/>
              </w:rPr>
              <w:t xml:space="preserve"> en la ejecución de adquis</w:t>
            </w:r>
            <w:r w:rsidR="00B020F0" w:rsidRPr="00C55089">
              <w:rPr>
                <w:rFonts w:ascii="Verdana" w:hAnsi="Verdana" w:cs="Arial"/>
                <w:sz w:val="20"/>
                <w:szCs w:val="20"/>
                <w:lang w:val="es-CO"/>
              </w:rPr>
              <w:t xml:space="preserve">ición de bienes y servicios por </w:t>
            </w:r>
            <w:r w:rsidR="00211CC2">
              <w:rPr>
                <w:rFonts w:ascii="Verdana" w:hAnsi="Verdana" w:cs="Arial"/>
                <w:sz w:val="20"/>
                <w:szCs w:val="20"/>
                <w:lang w:val="es-CO"/>
              </w:rPr>
              <w:t>1,6</w:t>
            </w:r>
            <w:r w:rsidRPr="00C55089">
              <w:rPr>
                <w:rFonts w:ascii="Verdana" w:hAnsi="Verdana" w:cs="Arial"/>
                <w:sz w:val="20"/>
                <w:szCs w:val="20"/>
                <w:lang w:val="es-CO"/>
              </w:rPr>
              <w:t xml:space="preserve"> </w:t>
            </w:r>
            <w:r w:rsidR="00B020F0" w:rsidRPr="00C55089">
              <w:rPr>
                <w:rFonts w:ascii="Verdana" w:hAnsi="Verdana" w:cs="Arial"/>
                <w:sz w:val="20"/>
                <w:szCs w:val="20"/>
                <w:lang w:val="es-CO"/>
              </w:rPr>
              <w:t>mil pesos, se cumplió la meta;</w:t>
            </w:r>
            <w:r w:rsidRPr="00C55089">
              <w:rPr>
                <w:rFonts w:ascii="Verdana" w:hAnsi="Verdana" w:cs="Arial"/>
                <w:sz w:val="20"/>
                <w:szCs w:val="20"/>
                <w:lang w:val="es-CO"/>
              </w:rPr>
              <w:t xml:space="preserve">3) </w:t>
            </w:r>
            <w:r w:rsidR="00A71309">
              <w:rPr>
                <w:rFonts w:ascii="Verdana" w:hAnsi="Verdana" w:cs="Arial"/>
                <w:sz w:val="20"/>
                <w:szCs w:val="20"/>
                <w:lang w:val="es-CO"/>
              </w:rPr>
              <w:t>E</w:t>
            </w:r>
            <w:r w:rsidRPr="00C55089">
              <w:rPr>
                <w:rFonts w:ascii="Verdana" w:hAnsi="Verdana" w:cs="Arial"/>
                <w:sz w:val="20"/>
                <w:szCs w:val="20"/>
                <w:lang w:val="es-CO"/>
              </w:rPr>
              <w:t>n la ejecución de transferencia</w:t>
            </w:r>
            <w:r w:rsidR="000A7186">
              <w:rPr>
                <w:rFonts w:ascii="Verdana" w:hAnsi="Verdana" w:cs="Arial"/>
                <w:sz w:val="20"/>
                <w:szCs w:val="20"/>
                <w:lang w:val="es-CO"/>
              </w:rPr>
              <w:t xml:space="preserve">s </w:t>
            </w:r>
            <w:r w:rsidR="000A7186" w:rsidRPr="00C55089">
              <w:rPr>
                <w:rFonts w:ascii="Verdana" w:hAnsi="Verdana" w:cs="Arial"/>
                <w:sz w:val="20"/>
                <w:szCs w:val="20"/>
                <w:lang w:val="es-CO"/>
              </w:rPr>
              <w:t>corrientes</w:t>
            </w:r>
            <w:r w:rsidR="000A7186">
              <w:rPr>
                <w:rFonts w:ascii="Verdana" w:hAnsi="Verdana" w:cs="Arial"/>
                <w:sz w:val="20"/>
                <w:szCs w:val="20"/>
                <w:lang w:val="es-CO"/>
              </w:rPr>
              <w:t xml:space="preserve"> se presentó un superávit por 518,6 millones  </w:t>
            </w:r>
            <w:r w:rsidRPr="00C55089">
              <w:rPr>
                <w:rFonts w:ascii="Verdana" w:hAnsi="Verdana" w:cs="Arial"/>
                <w:sz w:val="20"/>
                <w:szCs w:val="20"/>
                <w:lang w:val="es-CO"/>
              </w:rPr>
              <w:t xml:space="preserve"> </w:t>
            </w:r>
            <w:r w:rsidR="00C55089" w:rsidRPr="00C55089">
              <w:rPr>
                <w:rFonts w:ascii="Verdana" w:hAnsi="Verdana" w:cs="Arial"/>
                <w:sz w:val="20"/>
                <w:szCs w:val="20"/>
                <w:lang w:val="es-CO"/>
              </w:rPr>
              <w:t>en FOCAI, se cumplió la meta</w:t>
            </w:r>
            <w:r w:rsidR="00C55089">
              <w:rPr>
                <w:rFonts w:ascii="Verdana" w:hAnsi="Verdana" w:cs="Arial"/>
                <w:sz w:val="20"/>
                <w:szCs w:val="20"/>
                <w:lang w:val="es-CO"/>
              </w:rPr>
              <w:t>,</w:t>
            </w:r>
            <w:r w:rsidR="00C55089" w:rsidRPr="00C55089">
              <w:rPr>
                <w:rFonts w:ascii="Verdana" w:hAnsi="Verdana" w:cs="Arial"/>
                <w:sz w:val="20"/>
                <w:szCs w:val="20"/>
                <w:lang w:val="es-CO"/>
              </w:rPr>
              <w:t xml:space="preserve"> pero </w:t>
            </w:r>
            <w:r w:rsidR="00A71309">
              <w:rPr>
                <w:rFonts w:ascii="Verdana" w:hAnsi="Verdana" w:cs="Arial"/>
                <w:sz w:val="20"/>
                <w:szCs w:val="20"/>
                <w:lang w:val="es-CO"/>
              </w:rPr>
              <w:t xml:space="preserve">se </w:t>
            </w:r>
            <w:r w:rsidR="00C55089" w:rsidRPr="00C55089">
              <w:rPr>
                <w:rFonts w:ascii="Verdana" w:hAnsi="Verdana" w:cs="Arial"/>
                <w:sz w:val="20"/>
                <w:szCs w:val="20"/>
                <w:lang w:val="es-CO"/>
              </w:rPr>
              <w:t>presenta u</w:t>
            </w:r>
            <w:r w:rsidR="000A7186">
              <w:rPr>
                <w:rFonts w:ascii="Verdana" w:hAnsi="Verdana" w:cs="Arial"/>
                <w:sz w:val="20"/>
                <w:szCs w:val="20"/>
                <w:lang w:val="es-CO"/>
              </w:rPr>
              <w:t>n déficit en incapacidades de 2,2 millones</w:t>
            </w:r>
            <w:r w:rsidR="005C79D7" w:rsidRPr="00C55089">
              <w:rPr>
                <w:rFonts w:ascii="Verdana" w:hAnsi="Verdana" w:cs="Arial"/>
                <w:sz w:val="20"/>
                <w:szCs w:val="20"/>
                <w:lang w:val="es-CO"/>
              </w:rPr>
              <w:t xml:space="preserve">, debido que este rubro  se afecta cuando  hay novedades de incapacidades radicadas en talento humano. </w:t>
            </w:r>
            <w:r w:rsidRPr="00BC4B5E">
              <w:rPr>
                <w:rFonts w:ascii="Verdana" w:hAnsi="Verdana" w:cs="Arial"/>
                <w:b/>
                <w:sz w:val="20"/>
                <w:szCs w:val="20"/>
                <w:lang w:val="es-CO"/>
              </w:rPr>
              <w:t>B) Gastos de inversión:</w:t>
            </w:r>
            <w:r w:rsidRPr="00C55089">
              <w:rPr>
                <w:rFonts w:ascii="Verdana" w:hAnsi="Verdana" w:cs="Arial"/>
                <w:sz w:val="20"/>
                <w:szCs w:val="20"/>
                <w:lang w:val="es-CO"/>
              </w:rPr>
              <w:t xml:space="preserve"> 1) </w:t>
            </w:r>
            <w:r w:rsidR="00D06491">
              <w:rPr>
                <w:rFonts w:ascii="Verdana" w:hAnsi="Verdana" w:cs="Arial"/>
                <w:sz w:val="20"/>
                <w:szCs w:val="20"/>
                <w:lang w:val="es-CO"/>
              </w:rPr>
              <w:t xml:space="preserve">Déficit de 649,3 millones </w:t>
            </w:r>
            <w:r w:rsidR="00D06491" w:rsidRPr="00994555">
              <w:rPr>
                <w:rFonts w:ascii="Verdana" w:hAnsi="Verdana" w:cs="Arial"/>
                <w:sz w:val="20"/>
                <w:szCs w:val="20"/>
              </w:rPr>
              <w:t>debido a que</w:t>
            </w:r>
            <w:r w:rsidR="00D06491">
              <w:rPr>
                <w:rFonts w:ascii="Verdana" w:hAnsi="Verdana" w:cs="Arial"/>
                <w:sz w:val="20"/>
                <w:szCs w:val="20"/>
              </w:rPr>
              <w:t xml:space="preserve"> no se tramitaron todos los contratos que se tenían previstos por el rubro de Contrapartida. </w:t>
            </w:r>
            <w:r w:rsidR="00382611">
              <w:rPr>
                <w:rFonts w:ascii="Verdana" w:hAnsi="Verdana" w:cs="Arial"/>
                <w:sz w:val="20"/>
                <w:szCs w:val="20"/>
              </w:rPr>
              <w:t>2) Déficit</w:t>
            </w:r>
            <w:r w:rsidR="00D06491">
              <w:rPr>
                <w:rFonts w:ascii="Verdana" w:hAnsi="Verdana" w:cs="Arial"/>
                <w:sz w:val="20"/>
                <w:szCs w:val="20"/>
              </w:rPr>
              <w:t xml:space="preserve"> de 7.191,0 millones, debido a que no se tramitaron todas las facturas que se tenían previstas para el rubro de Administración de recursos</w:t>
            </w:r>
            <w:r w:rsidR="00382611">
              <w:rPr>
                <w:rFonts w:ascii="Verdana" w:hAnsi="Verdana" w:cs="Arial"/>
                <w:sz w:val="20"/>
                <w:szCs w:val="20"/>
              </w:rPr>
              <w:t>.3) Déficit de 26,3 millones por Fortalecimiento de las capacidades tecnológicas debido que no se tramitaron todas las facturas que se tenían previstas  para este mes.</w:t>
            </w:r>
          </w:p>
          <w:p w:rsidR="00F906B1" w:rsidRDefault="00F906B1" w:rsidP="00F906B1">
            <w:pPr>
              <w:jc w:val="both"/>
              <w:rPr>
                <w:rFonts w:ascii="Verdana" w:hAnsi="Verdana" w:cs="Arial"/>
                <w:sz w:val="20"/>
                <w:szCs w:val="20"/>
              </w:rPr>
            </w:pPr>
          </w:p>
          <w:p w:rsidR="007C68D7" w:rsidRPr="007C68D7" w:rsidRDefault="007C68D7" w:rsidP="005F4A60">
            <w:pPr>
              <w:spacing w:after="160" w:line="259" w:lineRule="auto"/>
              <w:jc w:val="both"/>
              <w:rPr>
                <w:rFonts w:ascii="Verdana" w:hAnsi="Verdana" w:cs="Arial"/>
                <w:sz w:val="20"/>
                <w:szCs w:val="20"/>
                <w:lang w:val="es-CO"/>
              </w:rPr>
            </w:pPr>
            <w:r w:rsidRPr="007C68D7">
              <w:rPr>
                <w:rFonts w:ascii="Verdana" w:hAnsi="Verdana" w:cs="Arial"/>
                <w:sz w:val="20"/>
                <w:szCs w:val="20"/>
                <w:lang w:val="es-CO"/>
              </w:rPr>
              <w:t xml:space="preserve"> El </w:t>
            </w:r>
            <w:r w:rsidR="00536A3B">
              <w:rPr>
                <w:rFonts w:ascii="Verdana" w:hAnsi="Verdana" w:cs="Arial"/>
                <w:sz w:val="20"/>
                <w:szCs w:val="20"/>
                <w:lang w:val="es-CO"/>
              </w:rPr>
              <w:t>6</w:t>
            </w:r>
            <w:r w:rsidR="00650F5B">
              <w:rPr>
                <w:rFonts w:ascii="Verdana" w:hAnsi="Verdana" w:cs="Arial"/>
                <w:sz w:val="20"/>
                <w:szCs w:val="20"/>
                <w:lang w:val="es-CO"/>
              </w:rPr>
              <w:t>5</w:t>
            </w:r>
            <w:r w:rsidR="00536A3B">
              <w:rPr>
                <w:rFonts w:ascii="Verdana" w:hAnsi="Verdana" w:cs="Arial"/>
                <w:sz w:val="20"/>
                <w:szCs w:val="20"/>
                <w:lang w:val="es-CO"/>
              </w:rPr>
              <w:t>,</w:t>
            </w:r>
            <w:r w:rsidR="00650F5B">
              <w:rPr>
                <w:rFonts w:ascii="Verdana" w:hAnsi="Verdana" w:cs="Arial"/>
                <w:sz w:val="20"/>
                <w:szCs w:val="20"/>
                <w:lang w:val="es-CO"/>
              </w:rPr>
              <w:t>23</w:t>
            </w:r>
            <w:r w:rsidRPr="007C68D7">
              <w:rPr>
                <w:rFonts w:ascii="Verdana" w:hAnsi="Verdana" w:cs="Arial"/>
                <w:sz w:val="20"/>
                <w:szCs w:val="20"/>
                <w:lang w:val="es-CO"/>
              </w:rPr>
              <w:t xml:space="preserve">% de la ejecución corresponde a los gastos de funcionamiento y el </w:t>
            </w:r>
            <w:r w:rsidR="00650F5B">
              <w:rPr>
                <w:rFonts w:ascii="Verdana" w:hAnsi="Verdana" w:cs="Arial"/>
                <w:sz w:val="20"/>
                <w:szCs w:val="20"/>
                <w:lang w:val="es-CO"/>
              </w:rPr>
              <w:t>34</w:t>
            </w:r>
            <w:r w:rsidR="00536A3B">
              <w:rPr>
                <w:rFonts w:ascii="Verdana" w:hAnsi="Verdana" w:cs="Arial"/>
                <w:sz w:val="20"/>
                <w:szCs w:val="20"/>
                <w:lang w:val="es-CO"/>
              </w:rPr>
              <w:t>,</w:t>
            </w:r>
            <w:r w:rsidR="00650F5B">
              <w:rPr>
                <w:rFonts w:ascii="Verdana" w:hAnsi="Verdana" w:cs="Arial"/>
                <w:sz w:val="20"/>
                <w:szCs w:val="20"/>
                <w:lang w:val="es-CO"/>
              </w:rPr>
              <w:t>77</w:t>
            </w:r>
            <w:r w:rsidRPr="007C68D7">
              <w:rPr>
                <w:rFonts w:ascii="Verdana" w:hAnsi="Verdana" w:cs="Arial"/>
                <w:sz w:val="20"/>
                <w:szCs w:val="20"/>
                <w:lang w:val="es-CO"/>
              </w:rPr>
              <w:t>% a los gastos de inversión.</w:t>
            </w:r>
          </w:p>
          <w:p w:rsidR="007C68D7" w:rsidRPr="007C68D7" w:rsidRDefault="007C68D7" w:rsidP="005F4A60">
            <w:pPr>
              <w:jc w:val="both"/>
              <w:rPr>
                <w:rFonts w:ascii="Verdana" w:hAnsi="Verdana" w:cs="Arial"/>
                <w:sz w:val="20"/>
                <w:szCs w:val="20"/>
              </w:rPr>
            </w:pPr>
            <w:r w:rsidRPr="007C68D7">
              <w:rPr>
                <w:rFonts w:ascii="Verdana" w:hAnsi="Verdana" w:cs="Arial"/>
                <w:sz w:val="20"/>
                <w:szCs w:val="20"/>
              </w:rPr>
              <w:t>La ejecución en funcionamiento se distribuyó así:</w:t>
            </w:r>
          </w:p>
          <w:p w:rsidR="007C68D7" w:rsidRPr="007C68D7" w:rsidRDefault="007C68D7" w:rsidP="005F4A60">
            <w:pPr>
              <w:jc w:val="both"/>
              <w:rPr>
                <w:rFonts w:ascii="Verdana" w:hAnsi="Verdana" w:cs="Arial"/>
                <w:sz w:val="20"/>
                <w:szCs w:val="20"/>
              </w:rPr>
            </w:pPr>
            <w:r w:rsidRPr="007C68D7">
              <w:rPr>
                <w:rFonts w:ascii="Verdana" w:hAnsi="Verdana" w:cs="Arial"/>
                <w:sz w:val="20"/>
                <w:szCs w:val="20"/>
              </w:rPr>
              <w:t xml:space="preserve">1) Gastos de personal con el </w:t>
            </w:r>
            <w:r w:rsidR="00650F5B">
              <w:rPr>
                <w:rFonts w:ascii="Verdana" w:hAnsi="Verdana" w:cs="Arial"/>
                <w:sz w:val="20"/>
                <w:szCs w:val="20"/>
              </w:rPr>
              <w:t>58,06</w:t>
            </w:r>
            <w:r w:rsidRPr="007C68D7">
              <w:rPr>
                <w:rFonts w:ascii="Verdana" w:hAnsi="Verdana" w:cs="Arial"/>
                <w:sz w:val="20"/>
                <w:szCs w:val="20"/>
              </w:rPr>
              <w:t>%.</w:t>
            </w:r>
          </w:p>
          <w:p w:rsidR="007C68D7" w:rsidRPr="007C68D7" w:rsidRDefault="007C68D7" w:rsidP="005F4A60">
            <w:pPr>
              <w:jc w:val="both"/>
              <w:rPr>
                <w:rFonts w:ascii="Verdana" w:hAnsi="Verdana" w:cs="Arial"/>
                <w:sz w:val="20"/>
                <w:szCs w:val="20"/>
              </w:rPr>
            </w:pPr>
            <w:r w:rsidRPr="007C68D7">
              <w:rPr>
                <w:rFonts w:ascii="Verdana" w:hAnsi="Verdana" w:cs="Arial"/>
                <w:sz w:val="20"/>
                <w:szCs w:val="20"/>
              </w:rPr>
              <w:t xml:space="preserve">2) Gastos por adquisición de bienes y servicios con el </w:t>
            </w:r>
            <w:r w:rsidR="00650F5B">
              <w:rPr>
                <w:rFonts w:ascii="Verdana" w:hAnsi="Verdana" w:cs="Arial"/>
                <w:sz w:val="20"/>
                <w:szCs w:val="20"/>
              </w:rPr>
              <w:t>22,49</w:t>
            </w:r>
            <w:r w:rsidRPr="007C68D7">
              <w:rPr>
                <w:rFonts w:ascii="Verdana" w:hAnsi="Verdana" w:cs="Arial"/>
                <w:sz w:val="20"/>
                <w:szCs w:val="20"/>
              </w:rPr>
              <w:t>%.</w:t>
            </w:r>
          </w:p>
          <w:p w:rsidR="00765CCE" w:rsidRDefault="007C68D7" w:rsidP="005F4A60">
            <w:pPr>
              <w:jc w:val="both"/>
              <w:rPr>
                <w:rFonts w:ascii="Verdana" w:hAnsi="Verdana" w:cs="Arial"/>
                <w:sz w:val="20"/>
                <w:szCs w:val="20"/>
              </w:rPr>
            </w:pPr>
            <w:r w:rsidRPr="007C68D7">
              <w:rPr>
                <w:rFonts w:ascii="Verdana" w:hAnsi="Verdana" w:cs="Arial"/>
                <w:sz w:val="20"/>
                <w:szCs w:val="20"/>
              </w:rPr>
              <w:lastRenderedPageBreak/>
              <w:t xml:space="preserve">3) </w:t>
            </w:r>
            <w:r w:rsidR="009B1E57">
              <w:rPr>
                <w:rFonts w:ascii="Verdana" w:hAnsi="Verdana" w:cs="Arial"/>
                <w:sz w:val="20"/>
                <w:szCs w:val="20"/>
              </w:rPr>
              <w:t xml:space="preserve">Gastos </w:t>
            </w:r>
            <w:r w:rsidR="009B1E57" w:rsidRPr="00882814">
              <w:rPr>
                <w:rFonts w:ascii="Verdana" w:hAnsi="Verdana" w:cs="Arial"/>
                <w:sz w:val="20"/>
                <w:szCs w:val="20"/>
              </w:rPr>
              <w:t xml:space="preserve">de transferencias corrientes representan el </w:t>
            </w:r>
            <w:r w:rsidR="00650F5B">
              <w:rPr>
                <w:rFonts w:ascii="Verdana" w:hAnsi="Verdana" w:cs="Arial"/>
                <w:sz w:val="20"/>
                <w:szCs w:val="20"/>
              </w:rPr>
              <w:t>19,44</w:t>
            </w:r>
            <w:r w:rsidR="009B1E57" w:rsidRPr="00882814">
              <w:rPr>
                <w:rFonts w:ascii="Verdana" w:hAnsi="Verdana" w:cs="Arial"/>
                <w:sz w:val="20"/>
                <w:szCs w:val="20"/>
              </w:rPr>
              <w:t xml:space="preserve">%, el  </w:t>
            </w:r>
            <w:r w:rsidR="0052400E">
              <w:rPr>
                <w:rFonts w:ascii="Verdana" w:hAnsi="Verdana" w:cs="Arial"/>
                <w:sz w:val="20"/>
                <w:szCs w:val="20"/>
              </w:rPr>
              <w:t>19,20</w:t>
            </w:r>
            <w:r w:rsidR="009B1E57" w:rsidRPr="00882814">
              <w:rPr>
                <w:rFonts w:ascii="Verdana" w:hAnsi="Verdana" w:cs="Arial"/>
                <w:sz w:val="20"/>
                <w:szCs w:val="20"/>
              </w:rPr>
              <w:t xml:space="preserve">% correspondientes a gastos del Fondo de Cooperación y Asistencia Internacional – FOCAI Y el </w:t>
            </w:r>
            <w:r w:rsidR="00765CCE">
              <w:rPr>
                <w:rFonts w:ascii="Verdana" w:hAnsi="Verdana" w:cs="Arial"/>
                <w:sz w:val="20"/>
                <w:szCs w:val="20"/>
              </w:rPr>
              <w:t>0,2</w:t>
            </w:r>
            <w:r w:rsidR="00536A3B">
              <w:rPr>
                <w:rFonts w:ascii="Verdana" w:hAnsi="Verdana" w:cs="Arial"/>
                <w:sz w:val="20"/>
                <w:szCs w:val="20"/>
              </w:rPr>
              <w:t>4</w:t>
            </w:r>
            <w:r w:rsidR="009B1E57" w:rsidRPr="00882814">
              <w:rPr>
                <w:rFonts w:ascii="Verdana" w:hAnsi="Verdana" w:cs="Arial"/>
                <w:sz w:val="20"/>
                <w:szCs w:val="20"/>
              </w:rPr>
              <w:t>% a Incapaci</w:t>
            </w:r>
            <w:r w:rsidR="00765CCE">
              <w:rPr>
                <w:rFonts w:ascii="Verdana" w:hAnsi="Verdana" w:cs="Arial"/>
                <w:sz w:val="20"/>
                <w:szCs w:val="20"/>
              </w:rPr>
              <w:t>dades y Licencias de maternidad y paternidad.</w:t>
            </w:r>
          </w:p>
          <w:p w:rsidR="008B1B31" w:rsidRPr="007C68D7" w:rsidRDefault="00765CCE" w:rsidP="005F4A60">
            <w:pPr>
              <w:jc w:val="both"/>
              <w:rPr>
                <w:rFonts w:ascii="Verdana" w:hAnsi="Verdana" w:cs="Arial"/>
                <w:sz w:val="20"/>
                <w:szCs w:val="20"/>
              </w:rPr>
            </w:pPr>
            <w:r w:rsidRPr="007C68D7">
              <w:rPr>
                <w:rFonts w:ascii="Verdana" w:hAnsi="Verdana" w:cs="Arial"/>
                <w:sz w:val="20"/>
                <w:szCs w:val="20"/>
              </w:rPr>
              <w:t xml:space="preserve"> </w:t>
            </w:r>
          </w:p>
          <w:p w:rsidR="007C68D7" w:rsidRDefault="007C68D7" w:rsidP="005F4A60">
            <w:pPr>
              <w:jc w:val="both"/>
              <w:rPr>
                <w:rFonts w:ascii="Verdana" w:hAnsi="Verdana" w:cs="Arial"/>
                <w:sz w:val="20"/>
                <w:szCs w:val="20"/>
              </w:rPr>
            </w:pPr>
            <w:r w:rsidRPr="007C68D7">
              <w:rPr>
                <w:rFonts w:ascii="Verdana" w:hAnsi="Verdana" w:cs="Arial"/>
                <w:sz w:val="20"/>
                <w:szCs w:val="20"/>
              </w:rPr>
              <w:t xml:space="preserve"> La ejecución de los gastos de inversión estuvo distribuida así:</w:t>
            </w:r>
          </w:p>
          <w:p w:rsidR="00536A3B" w:rsidRDefault="00536A3B" w:rsidP="005F4A60">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w:t>
            </w:r>
            <w:r w:rsidR="00360D05">
              <w:rPr>
                <w:rFonts w:ascii="Verdana" w:hAnsi="Verdana" w:cs="Arial"/>
                <w:sz w:val="20"/>
                <w:szCs w:val="20"/>
              </w:rPr>
              <w:t>27,72</w:t>
            </w:r>
            <w:r>
              <w:rPr>
                <w:rFonts w:ascii="Verdana" w:hAnsi="Verdana" w:cs="Arial"/>
                <w:sz w:val="20"/>
                <w:szCs w:val="20"/>
              </w:rPr>
              <w:t xml:space="preserve">% de la ejecución de inversión, equivalente a </w:t>
            </w:r>
            <w:r w:rsidR="0003676F">
              <w:rPr>
                <w:rFonts w:ascii="Verdana" w:hAnsi="Verdana" w:cs="Arial"/>
                <w:sz w:val="20"/>
                <w:szCs w:val="20"/>
              </w:rPr>
              <w:t>1.323,6</w:t>
            </w:r>
            <w:r>
              <w:rPr>
                <w:rFonts w:ascii="Verdana" w:hAnsi="Verdana" w:cs="Arial"/>
                <w:sz w:val="20"/>
                <w:szCs w:val="20"/>
              </w:rPr>
              <w:t xml:space="preserve"> para </w:t>
            </w:r>
            <w:r w:rsidR="0003676F">
              <w:rPr>
                <w:rFonts w:ascii="Verdana" w:hAnsi="Verdana" w:cs="Arial"/>
                <w:sz w:val="20"/>
                <w:szCs w:val="20"/>
              </w:rPr>
              <w:t xml:space="preserve">la ejecución total del </w:t>
            </w:r>
            <w:r>
              <w:rPr>
                <w:rFonts w:ascii="Verdana" w:hAnsi="Verdana" w:cs="Arial"/>
                <w:sz w:val="20"/>
                <w:szCs w:val="20"/>
              </w:rPr>
              <w:t xml:space="preserve"> pago del contrato con el ICETEX.</w:t>
            </w:r>
          </w:p>
          <w:p w:rsidR="00536A3B" w:rsidRDefault="00536A3B" w:rsidP="005F4A60">
            <w:pPr>
              <w:jc w:val="both"/>
              <w:rPr>
                <w:rFonts w:ascii="Verdana" w:hAnsi="Verdana" w:cs="Arial"/>
                <w:sz w:val="20"/>
                <w:szCs w:val="20"/>
              </w:rPr>
            </w:pPr>
            <w:r>
              <w:rPr>
                <w:rFonts w:ascii="Verdana" w:hAnsi="Verdana" w:cs="Arial"/>
                <w:sz w:val="20"/>
                <w:szCs w:val="20"/>
              </w:rPr>
              <w:t xml:space="preserve">2) </w:t>
            </w:r>
            <w:r>
              <w:t>I</w:t>
            </w:r>
            <w:r w:rsidRPr="00BD6CAD">
              <w:rPr>
                <w:rFonts w:ascii="Verdana" w:hAnsi="Verdana" w:cs="Arial"/>
                <w:sz w:val="20"/>
                <w:szCs w:val="20"/>
              </w:rPr>
              <w:t>mplementación de proyectos de cooperación internacional no reembolsable con aporte de recursos de contrapartida  nacional</w:t>
            </w:r>
            <w:r>
              <w:rPr>
                <w:rFonts w:ascii="Verdana" w:hAnsi="Verdana" w:cs="Arial"/>
                <w:sz w:val="20"/>
                <w:szCs w:val="20"/>
              </w:rPr>
              <w:t xml:space="preserve"> con el </w:t>
            </w:r>
            <w:r w:rsidR="00625E0A">
              <w:rPr>
                <w:rFonts w:ascii="Verdana" w:hAnsi="Verdana" w:cs="Arial"/>
                <w:sz w:val="20"/>
                <w:szCs w:val="20"/>
              </w:rPr>
              <w:t>9,61</w:t>
            </w:r>
            <w:r>
              <w:rPr>
                <w:rFonts w:ascii="Verdana" w:hAnsi="Verdana" w:cs="Arial"/>
                <w:sz w:val="20"/>
                <w:szCs w:val="20"/>
              </w:rPr>
              <w:t xml:space="preserve">% de la ejecución de inversión, equivalente a </w:t>
            </w:r>
            <w:r w:rsidR="00625E0A">
              <w:rPr>
                <w:rFonts w:ascii="Verdana" w:hAnsi="Verdana" w:cs="Arial"/>
                <w:sz w:val="20"/>
                <w:szCs w:val="20"/>
              </w:rPr>
              <w:t>459,1</w:t>
            </w:r>
            <w:r>
              <w:rPr>
                <w:rFonts w:ascii="Verdana" w:hAnsi="Verdana" w:cs="Arial"/>
                <w:sz w:val="20"/>
                <w:szCs w:val="20"/>
              </w:rPr>
              <w:t xml:space="preserve"> millones para el pago del Convenio interadministrativo con el Hospital </w:t>
            </w:r>
            <w:r w:rsidR="00625E0A">
              <w:rPr>
                <w:rFonts w:ascii="Verdana" w:hAnsi="Verdana" w:cs="Arial"/>
                <w:sz w:val="20"/>
                <w:szCs w:val="20"/>
              </w:rPr>
              <w:t>local de Tauramena y el Convenio de asociación con La Fundación Plan.</w:t>
            </w:r>
          </w:p>
          <w:p w:rsidR="007C68D7" w:rsidRPr="007C68D7" w:rsidRDefault="00536A3B" w:rsidP="005F4A60">
            <w:pPr>
              <w:jc w:val="both"/>
              <w:rPr>
                <w:rFonts w:ascii="Verdana" w:hAnsi="Verdana" w:cs="Arial"/>
                <w:sz w:val="20"/>
                <w:szCs w:val="20"/>
              </w:rPr>
            </w:pPr>
            <w:r>
              <w:rPr>
                <w:rFonts w:ascii="Verdana" w:hAnsi="Verdana" w:cs="Arial"/>
                <w:sz w:val="20"/>
                <w:szCs w:val="20"/>
              </w:rPr>
              <w:t>3</w:t>
            </w:r>
            <w:r w:rsidR="007C68D7" w:rsidRPr="007C68D7">
              <w:rPr>
                <w:rFonts w:ascii="Verdana" w:hAnsi="Verdana" w:cs="Arial"/>
                <w:sz w:val="20"/>
                <w:szCs w:val="20"/>
              </w:rPr>
              <w:t xml:space="preserve">) Administración de Recursos de Cooperación con el </w:t>
            </w:r>
            <w:r w:rsidR="00625E0A">
              <w:rPr>
                <w:rFonts w:ascii="Verdana" w:hAnsi="Verdana" w:cs="Arial"/>
                <w:sz w:val="20"/>
                <w:szCs w:val="20"/>
              </w:rPr>
              <w:t>60,17</w:t>
            </w:r>
            <w:r w:rsidR="007C68D7" w:rsidRPr="007C68D7">
              <w:rPr>
                <w:rFonts w:ascii="Verdana" w:hAnsi="Verdana" w:cs="Arial"/>
                <w:sz w:val="20"/>
                <w:szCs w:val="20"/>
              </w:rPr>
              <w:t xml:space="preserve">% de la ejecución en inversión, equivalente a </w:t>
            </w:r>
            <w:r>
              <w:rPr>
                <w:rFonts w:ascii="Verdana" w:hAnsi="Verdana" w:cs="Arial"/>
                <w:sz w:val="20"/>
                <w:szCs w:val="20"/>
              </w:rPr>
              <w:t>2.</w:t>
            </w:r>
            <w:r w:rsidR="00625E0A">
              <w:rPr>
                <w:rFonts w:ascii="Verdana" w:hAnsi="Verdana" w:cs="Arial"/>
                <w:sz w:val="20"/>
                <w:szCs w:val="20"/>
              </w:rPr>
              <w:t>873</w:t>
            </w:r>
            <w:r>
              <w:rPr>
                <w:rFonts w:ascii="Verdana" w:hAnsi="Verdana" w:cs="Arial"/>
                <w:sz w:val="20"/>
                <w:szCs w:val="20"/>
              </w:rPr>
              <w:t>,</w:t>
            </w:r>
            <w:r w:rsidR="00625E0A">
              <w:rPr>
                <w:rFonts w:ascii="Verdana" w:hAnsi="Verdana" w:cs="Arial"/>
                <w:sz w:val="20"/>
                <w:szCs w:val="20"/>
              </w:rPr>
              <w:t>3</w:t>
            </w:r>
            <w:r w:rsidR="007C68D7" w:rsidRPr="007C68D7">
              <w:rPr>
                <w:rFonts w:ascii="Verdana" w:hAnsi="Verdana" w:cs="Arial"/>
                <w:sz w:val="20"/>
                <w:szCs w:val="20"/>
              </w:rPr>
              <w:t xml:space="preserve"> millones, distribuidos así:</w:t>
            </w:r>
          </w:p>
          <w:p w:rsidR="008B4BA6" w:rsidRDefault="008B4BA6" w:rsidP="005F4A60">
            <w:pPr>
              <w:jc w:val="both"/>
              <w:rPr>
                <w:rFonts w:ascii="Verdana" w:hAnsi="Verdana" w:cs="Arial"/>
                <w:sz w:val="20"/>
                <w:szCs w:val="20"/>
              </w:rPr>
            </w:pPr>
            <w:r>
              <w:rPr>
                <w:rFonts w:ascii="Verdana" w:hAnsi="Verdana" w:cs="Arial"/>
                <w:sz w:val="20"/>
                <w:szCs w:val="20"/>
              </w:rPr>
              <w:t xml:space="preserve">a) </w:t>
            </w:r>
            <w:r w:rsidR="00536A3B">
              <w:rPr>
                <w:rFonts w:ascii="Verdana" w:hAnsi="Verdana" w:cs="Arial"/>
                <w:sz w:val="20"/>
                <w:szCs w:val="20"/>
              </w:rPr>
              <w:t>338,2</w:t>
            </w:r>
            <w:r>
              <w:rPr>
                <w:rFonts w:ascii="Verdana" w:hAnsi="Verdana" w:cs="Arial"/>
                <w:sz w:val="20"/>
                <w:szCs w:val="20"/>
              </w:rPr>
              <w:t xml:space="preserve"> millones, pagos del proyecto </w:t>
            </w:r>
            <w:r w:rsidRPr="008B4BA6">
              <w:rPr>
                <w:rFonts w:ascii="Verdana" w:hAnsi="Verdana" w:cs="Arial"/>
                <w:sz w:val="20"/>
                <w:szCs w:val="20"/>
              </w:rPr>
              <w:t xml:space="preserve">PMR </w:t>
            </w:r>
            <w:r>
              <w:rPr>
                <w:rFonts w:ascii="Verdana" w:hAnsi="Verdana" w:cs="Arial"/>
                <w:sz w:val="20"/>
                <w:szCs w:val="20"/>
              </w:rPr>
              <w:t>Banco M</w:t>
            </w:r>
            <w:r w:rsidRPr="008B4BA6">
              <w:rPr>
                <w:rFonts w:ascii="Verdana" w:hAnsi="Verdana" w:cs="Arial"/>
                <w:sz w:val="20"/>
                <w:szCs w:val="20"/>
              </w:rPr>
              <w:t>undial</w:t>
            </w:r>
            <w:r>
              <w:rPr>
                <w:rFonts w:ascii="Verdana" w:hAnsi="Verdana" w:cs="Arial"/>
                <w:sz w:val="20"/>
                <w:szCs w:val="20"/>
              </w:rPr>
              <w:t xml:space="preserve"> (</w:t>
            </w:r>
            <w:r w:rsidR="0093202B" w:rsidRPr="008B4BA6">
              <w:rPr>
                <w:rFonts w:ascii="Verdana" w:hAnsi="Verdana" w:cs="Arial"/>
                <w:sz w:val="20"/>
                <w:szCs w:val="20"/>
              </w:rPr>
              <w:t>Agitos Foundation</w:t>
            </w:r>
            <w:r>
              <w:rPr>
                <w:rFonts w:ascii="Verdana" w:hAnsi="Verdana" w:cs="Arial"/>
                <w:sz w:val="20"/>
                <w:szCs w:val="20"/>
              </w:rPr>
              <w:t>).</w:t>
            </w:r>
          </w:p>
          <w:p w:rsidR="007C68D7" w:rsidRPr="007C68D7" w:rsidRDefault="008B4BA6" w:rsidP="005F4A60">
            <w:pPr>
              <w:jc w:val="both"/>
              <w:rPr>
                <w:rFonts w:ascii="Verdana" w:hAnsi="Verdana" w:cs="Arial"/>
                <w:sz w:val="20"/>
                <w:szCs w:val="20"/>
              </w:rPr>
            </w:pPr>
            <w:r>
              <w:rPr>
                <w:rFonts w:ascii="Verdana" w:hAnsi="Verdana" w:cs="Arial"/>
                <w:sz w:val="20"/>
                <w:szCs w:val="20"/>
              </w:rPr>
              <w:t>b</w:t>
            </w:r>
            <w:r w:rsidR="007C68D7" w:rsidRPr="007C68D7">
              <w:rPr>
                <w:rFonts w:ascii="Verdana" w:hAnsi="Verdana" w:cs="Arial"/>
                <w:sz w:val="20"/>
                <w:szCs w:val="20"/>
              </w:rPr>
              <w:t xml:space="preserve">) </w:t>
            </w:r>
            <w:r w:rsidR="00625E0A">
              <w:rPr>
                <w:rFonts w:ascii="Verdana" w:hAnsi="Verdana" w:cs="Arial"/>
                <w:sz w:val="20"/>
                <w:szCs w:val="20"/>
              </w:rPr>
              <w:t>1.059,1</w:t>
            </w:r>
            <w:r w:rsidR="007C68D7" w:rsidRPr="007C68D7">
              <w:rPr>
                <w:rFonts w:ascii="Verdana" w:hAnsi="Verdana" w:cs="Arial"/>
                <w:sz w:val="20"/>
                <w:szCs w:val="20"/>
              </w:rPr>
              <w:t xml:space="preserve"> millones, pagos realizados en el marco del proyecto “Estrategia regional de emprendimiento” financiado con recursos donados por la Unión Europea.</w:t>
            </w:r>
          </w:p>
          <w:p w:rsidR="007C68D7" w:rsidRDefault="008B4BA6" w:rsidP="005F4A60">
            <w:pPr>
              <w:jc w:val="both"/>
              <w:rPr>
                <w:rFonts w:ascii="Verdana" w:hAnsi="Verdana" w:cs="Arial"/>
                <w:sz w:val="20"/>
                <w:szCs w:val="20"/>
              </w:rPr>
            </w:pPr>
            <w:r>
              <w:rPr>
                <w:rFonts w:ascii="Verdana" w:hAnsi="Verdana" w:cs="Arial"/>
                <w:sz w:val="20"/>
                <w:szCs w:val="20"/>
              </w:rPr>
              <w:t>c</w:t>
            </w:r>
            <w:r w:rsidR="007C68D7" w:rsidRPr="007C68D7">
              <w:rPr>
                <w:rFonts w:ascii="Verdana" w:hAnsi="Verdana" w:cs="Arial"/>
                <w:sz w:val="20"/>
                <w:szCs w:val="20"/>
              </w:rPr>
              <w:t xml:space="preserve">) </w:t>
            </w:r>
            <w:r w:rsidR="00625E0A">
              <w:rPr>
                <w:rFonts w:ascii="Verdana" w:hAnsi="Verdana" w:cs="Arial"/>
                <w:sz w:val="20"/>
                <w:szCs w:val="20"/>
              </w:rPr>
              <w:t>1.321,5</w:t>
            </w:r>
            <w:r w:rsidR="007C68D7" w:rsidRPr="007C68D7">
              <w:rPr>
                <w:rFonts w:ascii="Verdana" w:hAnsi="Verdana" w:cs="Arial"/>
                <w:sz w:val="20"/>
                <w:szCs w:val="20"/>
              </w:rPr>
              <w:t xml:space="preserve"> millones, pagos del proyecto de desminado terrestre en el marco del convenio de subvención firmado con la fundación Howard </w:t>
            </w:r>
            <w:r w:rsidR="00EA559F" w:rsidRPr="007C68D7">
              <w:rPr>
                <w:rFonts w:ascii="Verdana" w:hAnsi="Verdana" w:cs="Arial"/>
                <w:sz w:val="20"/>
                <w:szCs w:val="20"/>
              </w:rPr>
              <w:t>Buffet</w:t>
            </w:r>
            <w:r w:rsidR="007C68D7" w:rsidRPr="007C68D7">
              <w:rPr>
                <w:rFonts w:ascii="Verdana" w:hAnsi="Verdana" w:cs="Arial"/>
                <w:sz w:val="20"/>
                <w:szCs w:val="20"/>
              </w:rPr>
              <w:t>.</w:t>
            </w:r>
          </w:p>
          <w:p w:rsidR="00EA559F" w:rsidRDefault="008B4BA6" w:rsidP="005F4A60">
            <w:pPr>
              <w:jc w:val="both"/>
              <w:rPr>
                <w:rFonts w:ascii="Verdana" w:hAnsi="Verdana" w:cs="Arial"/>
                <w:sz w:val="20"/>
                <w:szCs w:val="20"/>
              </w:rPr>
            </w:pPr>
            <w:r>
              <w:rPr>
                <w:rFonts w:ascii="Verdana" w:hAnsi="Verdana" w:cs="Arial"/>
                <w:sz w:val="20"/>
                <w:szCs w:val="20"/>
              </w:rPr>
              <w:t xml:space="preserve">d) </w:t>
            </w:r>
            <w:r w:rsidR="00625E0A">
              <w:rPr>
                <w:rFonts w:ascii="Verdana" w:hAnsi="Verdana" w:cs="Arial"/>
                <w:sz w:val="20"/>
                <w:szCs w:val="20"/>
              </w:rPr>
              <w:t>150,4</w:t>
            </w:r>
            <w:r w:rsidR="00EA559F">
              <w:rPr>
                <w:rFonts w:ascii="Verdana" w:hAnsi="Verdana" w:cs="Arial"/>
                <w:sz w:val="20"/>
                <w:szCs w:val="20"/>
              </w:rPr>
              <w:t xml:space="preserve"> millones del proyecto Fondo Verde del Clima.</w:t>
            </w:r>
          </w:p>
          <w:p w:rsidR="00625E0A" w:rsidRDefault="00625E0A" w:rsidP="00625E0A">
            <w:pPr>
              <w:jc w:val="both"/>
              <w:rPr>
                <w:rFonts w:ascii="Verdana" w:hAnsi="Verdana" w:cs="Arial"/>
                <w:sz w:val="20"/>
                <w:szCs w:val="20"/>
              </w:rPr>
            </w:pPr>
            <w:r>
              <w:rPr>
                <w:rFonts w:ascii="Verdana" w:hAnsi="Verdana" w:cs="Arial"/>
                <w:sz w:val="20"/>
                <w:szCs w:val="20"/>
              </w:rPr>
              <w:t>e) 4,0 millones del Proyecto con Corporación Andina de Fomento-CAF.</w:t>
            </w:r>
          </w:p>
          <w:p w:rsidR="00CE57ED" w:rsidRPr="007C68D7" w:rsidRDefault="00CE57ED" w:rsidP="005F4A60">
            <w:pPr>
              <w:jc w:val="both"/>
              <w:rPr>
                <w:rFonts w:ascii="Verdana" w:hAnsi="Verdana" w:cs="Arial"/>
                <w:sz w:val="20"/>
                <w:szCs w:val="20"/>
              </w:rPr>
            </w:pPr>
          </w:p>
          <w:p w:rsidR="000B678D" w:rsidRPr="00D8725F" w:rsidRDefault="00E7783B" w:rsidP="00D8725F">
            <w:pPr>
              <w:jc w:val="both"/>
              <w:rPr>
                <w:rFonts w:ascii="Verdana" w:hAnsi="Verdana" w:cs="Arial"/>
                <w:sz w:val="20"/>
                <w:szCs w:val="20"/>
              </w:rPr>
            </w:pPr>
            <w:r>
              <w:rPr>
                <w:rFonts w:ascii="Verdana" w:hAnsi="Verdana" w:cs="Arial"/>
                <w:sz w:val="20"/>
                <w:szCs w:val="20"/>
              </w:rPr>
              <w:t>4</w:t>
            </w:r>
            <w:bookmarkStart w:id="0" w:name="_GoBack"/>
            <w:bookmarkEnd w:id="0"/>
            <w:r w:rsidR="007C68D7" w:rsidRPr="007C68D7">
              <w:rPr>
                <w:rFonts w:ascii="Verdana" w:hAnsi="Verdana" w:cs="Arial"/>
                <w:sz w:val="20"/>
                <w:szCs w:val="20"/>
              </w:rPr>
              <w:t xml:space="preserve">) Fortalecimiento de las capacidades tecnológicas de la información en APC-COLOMBIA, con el </w:t>
            </w:r>
            <w:r w:rsidR="00536A3B">
              <w:rPr>
                <w:rFonts w:ascii="Verdana" w:hAnsi="Verdana" w:cs="Arial"/>
                <w:sz w:val="20"/>
                <w:szCs w:val="20"/>
              </w:rPr>
              <w:t>2</w:t>
            </w:r>
            <w:r w:rsidR="00D8725F">
              <w:rPr>
                <w:rFonts w:ascii="Verdana" w:hAnsi="Verdana" w:cs="Arial"/>
                <w:sz w:val="20"/>
                <w:szCs w:val="20"/>
              </w:rPr>
              <w:t>,50</w:t>
            </w:r>
            <w:r w:rsidR="007C68D7" w:rsidRPr="007C68D7">
              <w:rPr>
                <w:rFonts w:ascii="Verdana" w:hAnsi="Verdana" w:cs="Arial"/>
                <w:sz w:val="20"/>
                <w:szCs w:val="20"/>
              </w:rPr>
              <w:t xml:space="preserve">% de la ejecución en inversión, equivalente a </w:t>
            </w:r>
            <w:r w:rsidR="00D8725F">
              <w:rPr>
                <w:rFonts w:ascii="Verdana" w:hAnsi="Verdana" w:cs="Arial"/>
                <w:sz w:val="20"/>
                <w:szCs w:val="20"/>
              </w:rPr>
              <w:t>119,2</w:t>
            </w:r>
            <w:r w:rsidR="007C68D7" w:rsidRPr="007C68D7">
              <w:rPr>
                <w:rFonts w:ascii="Verdana" w:hAnsi="Verdana" w:cs="Arial"/>
                <w:sz w:val="20"/>
                <w:szCs w:val="20"/>
              </w:rPr>
              <w:t xml:space="preserve"> millones para </w:t>
            </w:r>
            <w:r w:rsidR="00536A3B">
              <w:rPr>
                <w:rFonts w:ascii="Verdana" w:hAnsi="Verdana" w:cs="Arial"/>
                <w:sz w:val="20"/>
                <w:szCs w:val="20"/>
              </w:rPr>
              <w:t xml:space="preserve">el pago de </w:t>
            </w:r>
            <w:r w:rsidR="007C68D7" w:rsidRPr="007C68D7">
              <w:rPr>
                <w:rFonts w:ascii="Verdana" w:hAnsi="Verdana" w:cs="Arial"/>
                <w:sz w:val="20"/>
                <w:szCs w:val="20"/>
              </w:rPr>
              <w:t>los servicios profesionales para la gestión del proyecto</w:t>
            </w:r>
            <w:r w:rsidR="00536A3B">
              <w:rPr>
                <w:rFonts w:ascii="Verdana" w:hAnsi="Verdana" w:cs="Arial"/>
                <w:sz w:val="20"/>
                <w:szCs w:val="20"/>
              </w:rPr>
              <w:t xml:space="preserve"> y el pago de </w:t>
            </w:r>
            <w:r w:rsidR="00536A3B">
              <w:rPr>
                <w:rFonts w:ascii="Verdana" w:hAnsi="Verdana" w:cs="Arial"/>
                <w:sz w:val="20"/>
                <w:szCs w:val="20"/>
              </w:rPr>
              <w:lastRenderedPageBreak/>
              <w:t xml:space="preserve">contratos de </w:t>
            </w:r>
            <w:r w:rsidR="00D8725F" w:rsidRPr="00D8725F">
              <w:rPr>
                <w:rFonts w:ascii="Verdana" w:hAnsi="Verdana" w:cs="Arial"/>
                <w:sz w:val="20"/>
                <w:szCs w:val="20"/>
              </w:rPr>
              <w:t>Ximil Technologies SAS y con la Un&amp;On Soluciones Sistemas De Información S.A.S</w:t>
            </w:r>
            <w:r w:rsidR="00D8725F">
              <w:rPr>
                <w:rFonts w:ascii="Verdana" w:hAnsi="Verdana" w:cs="Arial"/>
                <w:sz w:val="20"/>
                <w:szCs w:val="20"/>
              </w:rPr>
              <w:t>.</w:t>
            </w:r>
          </w:p>
        </w:tc>
      </w:tr>
    </w:tbl>
    <w:p w:rsidR="00CA4EC6" w:rsidRDefault="00CA4EC6" w:rsidP="00B41CB3">
      <w:pPr>
        <w:jc w:val="center"/>
        <w:rPr>
          <w:rFonts w:ascii="Verdana" w:hAnsi="Verdana"/>
          <w:b/>
          <w:sz w:val="20"/>
          <w:szCs w:val="20"/>
        </w:rPr>
      </w:pPr>
    </w:p>
    <w:p w:rsidR="00DF7912" w:rsidRDefault="00DF7912" w:rsidP="00B41CB3">
      <w:pPr>
        <w:jc w:val="center"/>
        <w:rPr>
          <w:rFonts w:ascii="Verdana" w:hAnsi="Verdana"/>
          <w:b/>
          <w:sz w:val="20"/>
          <w:szCs w:val="20"/>
        </w:rPr>
      </w:pPr>
    </w:p>
    <w:p w:rsidR="00DF7912" w:rsidRDefault="00DF7912" w:rsidP="00B41CB3">
      <w:pPr>
        <w:jc w:val="center"/>
        <w:rPr>
          <w:rFonts w:ascii="Verdana" w:hAnsi="Verdana"/>
          <w:b/>
          <w:sz w:val="20"/>
          <w:szCs w:val="20"/>
        </w:rPr>
      </w:pPr>
    </w:p>
    <w:p w:rsidR="00DF7912" w:rsidRDefault="00DF7912" w:rsidP="00B41CB3">
      <w:pPr>
        <w:jc w:val="center"/>
        <w:rPr>
          <w:rFonts w:ascii="Verdana" w:hAnsi="Verdana"/>
          <w:b/>
          <w:sz w:val="20"/>
          <w:szCs w:val="20"/>
        </w:rPr>
      </w:pPr>
    </w:p>
    <w:p w:rsidR="00DF7912" w:rsidRDefault="00DF7912" w:rsidP="00B41CB3">
      <w:pPr>
        <w:jc w:val="center"/>
        <w:rPr>
          <w:rFonts w:ascii="Verdana" w:hAnsi="Verdana"/>
          <w:b/>
          <w:sz w:val="20"/>
          <w:szCs w:val="20"/>
        </w:rPr>
      </w:pPr>
    </w:p>
    <w:p w:rsidR="00DF7912" w:rsidRDefault="00DF7912" w:rsidP="00B41CB3">
      <w:pPr>
        <w:jc w:val="center"/>
        <w:rPr>
          <w:rFonts w:ascii="Verdana" w:hAnsi="Verdana"/>
          <w:b/>
          <w:sz w:val="20"/>
          <w:szCs w:val="20"/>
        </w:rPr>
      </w:pPr>
    </w:p>
    <w:p w:rsidR="007E4852" w:rsidRPr="003C58A7" w:rsidRDefault="007E4852" w:rsidP="005109A6">
      <w:pPr>
        <w:rPr>
          <w:rFonts w:ascii="Verdana" w:hAnsi="Verdana"/>
          <w:b/>
          <w:sz w:val="20"/>
          <w:szCs w:val="20"/>
        </w:rPr>
      </w:pPr>
    </w:p>
    <w:p w:rsidR="00873972" w:rsidRPr="00396EB5" w:rsidRDefault="00873972" w:rsidP="00B41CB3">
      <w:pPr>
        <w:jc w:val="center"/>
        <w:rPr>
          <w:rFonts w:ascii="Verdana" w:hAnsi="Verdana"/>
          <w:b/>
          <w:szCs w:val="20"/>
        </w:rPr>
      </w:pPr>
      <w:r w:rsidRPr="00396EB5">
        <w:rPr>
          <w:rFonts w:ascii="Verdana" w:hAnsi="Verdana"/>
          <w:b/>
          <w:szCs w:val="20"/>
        </w:rPr>
        <w:lastRenderedPageBreak/>
        <w:t>Presupuesto de Funcionamiento</w:t>
      </w:r>
    </w:p>
    <w:p w:rsidR="005572D7" w:rsidRPr="008D7A3E" w:rsidRDefault="005572D7" w:rsidP="00B41CB3">
      <w:pPr>
        <w:jc w:val="center"/>
        <w:rPr>
          <w:rFonts w:ascii="Verdana" w:hAnsi="Verdana"/>
          <w:b/>
          <w:sz w:val="22"/>
          <w:szCs w:val="20"/>
        </w:rPr>
      </w:pPr>
    </w:p>
    <w:tbl>
      <w:tblPr>
        <w:tblStyle w:val="Tablaconcuadrcula"/>
        <w:tblW w:w="0" w:type="auto"/>
        <w:tblLook w:val="04A0" w:firstRow="1" w:lastRow="0" w:firstColumn="1" w:lastColumn="0" w:noHBand="0" w:noVBand="1"/>
      </w:tblPr>
      <w:tblGrid>
        <w:gridCol w:w="6639"/>
        <w:gridCol w:w="6639"/>
      </w:tblGrid>
      <w:tr w:rsidR="00355DFC" w:rsidRPr="003A4A1F" w:rsidTr="001E6A86">
        <w:tc>
          <w:tcPr>
            <w:tcW w:w="7064" w:type="dxa"/>
          </w:tcPr>
          <w:p w:rsidR="00873972" w:rsidRPr="00841C2D" w:rsidRDefault="00873972" w:rsidP="00B41CB3">
            <w:pPr>
              <w:jc w:val="center"/>
              <w:rPr>
                <w:rFonts w:ascii="Verdana" w:hAnsi="Verdana"/>
                <w:b/>
                <w:sz w:val="22"/>
                <w:szCs w:val="20"/>
              </w:rPr>
            </w:pPr>
            <w:r w:rsidRPr="00841C2D">
              <w:rPr>
                <w:rFonts w:ascii="Verdana" w:hAnsi="Verdana"/>
                <w:b/>
                <w:sz w:val="22"/>
                <w:szCs w:val="20"/>
              </w:rPr>
              <w:t>C</w:t>
            </w:r>
            <w:r w:rsidR="003F2322" w:rsidRPr="00841C2D">
              <w:rPr>
                <w:rFonts w:ascii="Verdana" w:hAnsi="Verdana"/>
                <w:b/>
                <w:sz w:val="22"/>
                <w:szCs w:val="20"/>
              </w:rPr>
              <w:t>ompromisos</w:t>
            </w:r>
          </w:p>
        </w:tc>
        <w:tc>
          <w:tcPr>
            <w:tcW w:w="7064" w:type="dxa"/>
          </w:tcPr>
          <w:p w:rsidR="00873972" w:rsidRPr="00841C2D" w:rsidRDefault="00873972" w:rsidP="00B41CB3">
            <w:pPr>
              <w:jc w:val="center"/>
              <w:rPr>
                <w:rFonts w:ascii="Verdana" w:hAnsi="Verdana"/>
                <w:b/>
                <w:sz w:val="22"/>
                <w:szCs w:val="20"/>
              </w:rPr>
            </w:pPr>
            <w:r w:rsidRPr="00841C2D">
              <w:rPr>
                <w:rFonts w:ascii="Verdana" w:hAnsi="Verdana"/>
                <w:b/>
                <w:sz w:val="22"/>
                <w:szCs w:val="20"/>
              </w:rPr>
              <w:t>O</w:t>
            </w:r>
            <w:r w:rsidR="003F2322" w:rsidRPr="00841C2D">
              <w:rPr>
                <w:rFonts w:ascii="Verdana" w:hAnsi="Verdana"/>
                <w:b/>
                <w:sz w:val="22"/>
                <w:szCs w:val="20"/>
              </w:rPr>
              <w:t>bligaciones</w:t>
            </w:r>
          </w:p>
        </w:tc>
      </w:tr>
      <w:tr w:rsidR="00355DFC" w:rsidRPr="003A4A1F" w:rsidTr="0069199D">
        <w:trPr>
          <w:trHeight w:val="557"/>
        </w:trPr>
        <w:tc>
          <w:tcPr>
            <w:tcW w:w="7064" w:type="dxa"/>
          </w:tcPr>
          <w:p w:rsidR="00A81738" w:rsidRPr="00FC1311" w:rsidRDefault="00A81738" w:rsidP="00A81738">
            <w:pPr>
              <w:jc w:val="both"/>
              <w:rPr>
                <w:rFonts w:ascii="Verdana" w:hAnsi="Verdana"/>
                <w:sz w:val="20"/>
                <w:szCs w:val="20"/>
              </w:rPr>
            </w:pPr>
            <w:r w:rsidRPr="00FC1311">
              <w:rPr>
                <w:rFonts w:ascii="Verdana" w:hAnsi="Verdana"/>
                <w:b/>
                <w:sz w:val="20"/>
                <w:szCs w:val="20"/>
              </w:rPr>
              <w:t>Indicador:</w:t>
            </w:r>
            <w:r w:rsidRPr="00FC1311">
              <w:rPr>
                <w:rFonts w:ascii="Verdana" w:hAnsi="Verdana"/>
                <w:sz w:val="20"/>
                <w:szCs w:val="20"/>
              </w:rPr>
              <w:t xml:space="preserve"> Ejecución Compromisos / Apropiación Vigente.</w:t>
            </w:r>
          </w:p>
          <w:p w:rsidR="00A81738" w:rsidRPr="008D7A3E" w:rsidRDefault="00A81738" w:rsidP="00A81738">
            <w:pPr>
              <w:jc w:val="both"/>
              <w:rPr>
                <w:rFonts w:ascii="Verdana" w:hAnsi="Verdana"/>
                <w:sz w:val="20"/>
                <w:szCs w:val="20"/>
              </w:rPr>
            </w:pPr>
            <w:r w:rsidRPr="00FC1311">
              <w:rPr>
                <w:rFonts w:ascii="Verdana" w:hAnsi="Verdana"/>
                <w:b/>
                <w:sz w:val="20"/>
                <w:szCs w:val="20"/>
              </w:rPr>
              <w:t>Indicador:</w:t>
            </w:r>
            <w:r w:rsidR="00291F1C" w:rsidRPr="00FC1311">
              <w:rPr>
                <w:rFonts w:ascii="Verdana" w:hAnsi="Verdana"/>
                <w:b/>
                <w:sz w:val="20"/>
                <w:szCs w:val="20"/>
              </w:rPr>
              <w:t xml:space="preserve"> </w:t>
            </w:r>
            <w:r w:rsidR="003A32AB">
              <w:rPr>
                <w:rFonts w:ascii="Verdana" w:hAnsi="Verdana"/>
                <w:sz w:val="20"/>
                <w:szCs w:val="20"/>
              </w:rPr>
              <w:t>15.536,0</w:t>
            </w:r>
            <w:r w:rsidR="00291F1C" w:rsidRPr="00FC1311">
              <w:rPr>
                <w:rFonts w:ascii="Verdana" w:hAnsi="Verdana"/>
                <w:sz w:val="20"/>
                <w:szCs w:val="20"/>
              </w:rPr>
              <w:t xml:space="preserve"> </w:t>
            </w:r>
            <w:r w:rsidR="00B378AF" w:rsidRPr="00FC1311">
              <w:rPr>
                <w:rFonts w:ascii="Verdana" w:hAnsi="Verdana"/>
                <w:sz w:val="20"/>
                <w:szCs w:val="20"/>
              </w:rPr>
              <w:t>/</w:t>
            </w:r>
            <w:r w:rsidR="00291F1C" w:rsidRPr="00FC1311">
              <w:rPr>
                <w:rFonts w:ascii="Verdana" w:hAnsi="Verdana"/>
                <w:sz w:val="20"/>
                <w:szCs w:val="20"/>
              </w:rPr>
              <w:t xml:space="preserve"> 28.415,0</w:t>
            </w:r>
            <w:r w:rsidR="00B378AF" w:rsidRPr="00FC1311">
              <w:rPr>
                <w:rFonts w:ascii="Verdana" w:hAnsi="Verdana"/>
                <w:sz w:val="20"/>
                <w:szCs w:val="20"/>
              </w:rPr>
              <w:t xml:space="preserve"> </w:t>
            </w:r>
            <w:r w:rsidR="00241F24" w:rsidRPr="00FC1311">
              <w:rPr>
                <w:rFonts w:ascii="Verdana" w:hAnsi="Verdana"/>
                <w:sz w:val="20"/>
                <w:szCs w:val="20"/>
              </w:rPr>
              <w:t xml:space="preserve">= </w:t>
            </w:r>
            <w:r w:rsidR="003A32AB">
              <w:rPr>
                <w:rFonts w:ascii="Verdana" w:hAnsi="Verdana"/>
                <w:sz w:val="20"/>
                <w:szCs w:val="20"/>
              </w:rPr>
              <w:t>58,68</w:t>
            </w:r>
            <w:r w:rsidRPr="00FC1311">
              <w:rPr>
                <w:rFonts w:ascii="Verdana" w:hAnsi="Verdana"/>
                <w:sz w:val="20"/>
                <w:szCs w:val="20"/>
              </w:rPr>
              <w:t>%.</w:t>
            </w:r>
          </w:p>
          <w:p w:rsidR="00A81738" w:rsidRPr="003A4A1F" w:rsidRDefault="00A81738" w:rsidP="00A81738">
            <w:pPr>
              <w:jc w:val="both"/>
              <w:rPr>
                <w:rFonts w:ascii="Verdana" w:hAnsi="Verdana"/>
                <w:sz w:val="20"/>
                <w:szCs w:val="20"/>
                <w:highlight w:val="yellow"/>
              </w:rPr>
            </w:pPr>
          </w:p>
          <w:p w:rsidR="00DB533A" w:rsidRDefault="009A2528" w:rsidP="00A81738">
            <w:pPr>
              <w:jc w:val="both"/>
              <w:rPr>
                <w:rFonts w:ascii="Verdana" w:hAnsi="Verdana" w:cs="Arial"/>
                <w:b/>
                <w:sz w:val="20"/>
                <w:szCs w:val="20"/>
              </w:rPr>
            </w:pPr>
            <w:r>
              <w:rPr>
                <w:rFonts w:ascii="Verdana" w:hAnsi="Verdana"/>
                <w:sz w:val="20"/>
                <w:szCs w:val="20"/>
              </w:rPr>
              <w:t xml:space="preserve">Se ha comprometido el </w:t>
            </w:r>
            <w:r w:rsidR="003A32AB">
              <w:rPr>
                <w:rFonts w:ascii="Verdana" w:hAnsi="Verdana"/>
                <w:sz w:val="20"/>
                <w:szCs w:val="20"/>
              </w:rPr>
              <w:t>58,68</w:t>
            </w:r>
            <w:r w:rsidR="00A81738" w:rsidRPr="008D7A3E">
              <w:rPr>
                <w:rFonts w:ascii="Verdana" w:hAnsi="Verdana"/>
                <w:sz w:val="20"/>
                <w:szCs w:val="20"/>
              </w:rPr>
              <w:t xml:space="preserve">% del presupuesto de funcionamiento equivalente a </w:t>
            </w:r>
            <w:r w:rsidR="003A32AB">
              <w:rPr>
                <w:rFonts w:ascii="Verdana" w:hAnsi="Verdana"/>
                <w:sz w:val="20"/>
                <w:szCs w:val="20"/>
              </w:rPr>
              <w:t>15.536,0</w:t>
            </w:r>
            <w:r w:rsidR="00241F24" w:rsidRPr="008D7A3E">
              <w:rPr>
                <w:rFonts w:ascii="Verdana" w:hAnsi="Verdana"/>
                <w:sz w:val="20"/>
                <w:szCs w:val="20"/>
              </w:rPr>
              <w:t xml:space="preserve"> millones, de una meta del </w:t>
            </w:r>
            <w:r w:rsidR="00EB3AF9">
              <w:rPr>
                <w:rFonts w:ascii="Verdana" w:hAnsi="Verdana"/>
                <w:sz w:val="20"/>
                <w:szCs w:val="20"/>
              </w:rPr>
              <w:t>38,67</w:t>
            </w:r>
            <w:r w:rsidR="00DF4C03">
              <w:rPr>
                <w:rFonts w:ascii="Verdana" w:hAnsi="Verdana"/>
                <w:sz w:val="20"/>
                <w:szCs w:val="20"/>
              </w:rPr>
              <w:t>%, generando</w:t>
            </w:r>
            <w:r w:rsidR="00A81738" w:rsidRPr="008D7A3E">
              <w:rPr>
                <w:rFonts w:ascii="Verdana" w:hAnsi="Verdana"/>
                <w:sz w:val="20"/>
                <w:szCs w:val="20"/>
              </w:rPr>
              <w:t xml:space="preserve"> un </w:t>
            </w:r>
            <w:r w:rsidR="00DF4C03">
              <w:rPr>
                <w:rFonts w:ascii="Verdana" w:hAnsi="Verdana"/>
                <w:sz w:val="20"/>
                <w:szCs w:val="20"/>
              </w:rPr>
              <w:t>superávit d</w:t>
            </w:r>
            <w:r w:rsidR="00A81738" w:rsidRPr="008D7A3E">
              <w:rPr>
                <w:rFonts w:ascii="Verdana" w:hAnsi="Verdana"/>
                <w:sz w:val="20"/>
                <w:szCs w:val="20"/>
              </w:rPr>
              <w:t xml:space="preserve">e </w:t>
            </w:r>
            <w:r w:rsidR="003A32AB">
              <w:rPr>
                <w:rFonts w:ascii="Verdana" w:hAnsi="Verdana"/>
                <w:sz w:val="20"/>
                <w:szCs w:val="20"/>
              </w:rPr>
              <w:t>4.548,8</w:t>
            </w:r>
            <w:r w:rsidR="00241F24" w:rsidRPr="008D7A3E">
              <w:rPr>
                <w:rFonts w:ascii="Verdana" w:hAnsi="Verdana"/>
                <w:sz w:val="20"/>
                <w:szCs w:val="20"/>
              </w:rPr>
              <w:t xml:space="preserve"> </w:t>
            </w:r>
            <w:r w:rsidR="00634DFF" w:rsidRPr="008D7A3E">
              <w:rPr>
                <w:rFonts w:ascii="Verdana" w:hAnsi="Verdana"/>
                <w:sz w:val="20"/>
                <w:szCs w:val="20"/>
              </w:rPr>
              <w:t>millones, explicado así</w:t>
            </w:r>
            <w:r w:rsidR="00FF07B5" w:rsidRPr="008D7A3E">
              <w:rPr>
                <w:rFonts w:ascii="Verdana" w:hAnsi="Verdana"/>
                <w:sz w:val="20"/>
                <w:szCs w:val="20"/>
              </w:rPr>
              <w:t xml:space="preserve">: </w:t>
            </w:r>
            <w:r w:rsidR="003A32AB" w:rsidRPr="00902BE7">
              <w:rPr>
                <w:rFonts w:ascii="Verdana" w:hAnsi="Verdana" w:cs="Arial"/>
                <w:sz w:val="20"/>
                <w:szCs w:val="20"/>
              </w:rPr>
              <w:t xml:space="preserve">1) </w:t>
            </w:r>
            <w:r w:rsidR="003A32AB">
              <w:rPr>
                <w:rFonts w:ascii="Verdana" w:hAnsi="Verdana" w:cs="Arial"/>
                <w:sz w:val="20"/>
                <w:szCs w:val="20"/>
              </w:rPr>
              <w:t>Superávit</w:t>
            </w:r>
            <w:r w:rsidR="003A32AB" w:rsidRPr="00902BE7">
              <w:rPr>
                <w:rFonts w:ascii="Verdana" w:hAnsi="Verdana" w:cs="Arial"/>
                <w:sz w:val="20"/>
                <w:szCs w:val="20"/>
              </w:rPr>
              <w:t xml:space="preserve">  en la ejecución de gastos de personal por </w:t>
            </w:r>
            <w:r w:rsidR="003A32AB">
              <w:rPr>
                <w:rFonts w:ascii="Verdana" w:hAnsi="Verdana" w:cs="Arial"/>
                <w:sz w:val="20"/>
                <w:szCs w:val="20"/>
              </w:rPr>
              <w:t>58,4</w:t>
            </w:r>
            <w:r w:rsidR="003A32AB" w:rsidRPr="00902BE7">
              <w:rPr>
                <w:rFonts w:ascii="Verdana" w:hAnsi="Verdana" w:cs="Arial"/>
                <w:sz w:val="20"/>
                <w:szCs w:val="20"/>
              </w:rPr>
              <w:t xml:space="preserve"> millones</w:t>
            </w:r>
            <w:r w:rsidR="003A32AB">
              <w:rPr>
                <w:rFonts w:ascii="Verdana" w:hAnsi="Verdana" w:cs="Arial"/>
                <w:sz w:val="20"/>
                <w:szCs w:val="20"/>
              </w:rPr>
              <w:t>,</w:t>
            </w:r>
            <w:r w:rsidR="003A32AB" w:rsidRPr="0049603A">
              <w:rPr>
                <w:rFonts w:ascii="Verdana" w:hAnsi="Verdana" w:cs="Arial"/>
                <w:sz w:val="20"/>
                <w:szCs w:val="20"/>
              </w:rPr>
              <w:t xml:space="preserve"> se cumplió la meta</w:t>
            </w:r>
            <w:r w:rsidR="003A32AB">
              <w:rPr>
                <w:rFonts w:ascii="Verdana" w:hAnsi="Verdana" w:cs="Arial"/>
                <w:sz w:val="20"/>
                <w:szCs w:val="20"/>
              </w:rPr>
              <w:t xml:space="preserve">. </w:t>
            </w:r>
            <w:r w:rsidR="003A32AB" w:rsidRPr="00902BE7">
              <w:rPr>
                <w:rFonts w:ascii="Verdana" w:hAnsi="Verdana" w:cs="Arial"/>
                <w:sz w:val="20"/>
                <w:szCs w:val="20"/>
              </w:rPr>
              <w:t xml:space="preserve">2) </w:t>
            </w:r>
            <w:r w:rsidR="003A32AB">
              <w:rPr>
                <w:rFonts w:ascii="Verdana" w:hAnsi="Verdana" w:cs="Arial"/>
                <w:sz w:val="20"/>
                <w:szCs w:val="20"/>
              </w:rPr>
              <w:t xml:space="preserve">superávit </w:t>
            </w:r>
            <w:r w:rsidR="003A32AB" w:rsidRPr="00902BE7">
              <w:rPr>
                <w:rFonts w:ascii="Verdana" w:hAnsi="Verdana" w:cs="Arial"/>
                <w:sz w:val="20"/>
                <w:szCs w:val="20"/>
              </w:rPr>
              <w:t xml:space="preserve">en adquisición de bienes y servicios por </w:t>
            </w:r>
            <w:r w:rsidR="003A32AB">
              <w:rPr>
                <w:rFonts w:ascii="Verdana" w:hAnsi="Verdana" w:cs="Arial"/>
                <w:sz w:val="20"/>
                <w:szCs w:val="20"/>
              </w:rPr>
              <w:t>230,4</w:t>
            </w:r>
            <w:r w:rsidR="003A32AB" w:rsidRPr="00902BE7">
              <w:rPr>
                <w:rFonts w:ascii="Verdana" w:hAnsi="Verdana" w:cs="Arial"/>
                <w:sz w:val="20"/>
                <w:szCs w:val="20"/>
              </w:rPr>
              <w:t xml:space="preserve"> millones,</w:t>
            </w:r>
            <w:r w:rsidR="003A32AB">
              <w:rPr>
                <w:rFonts w:ascii="Verdana" w:hAnsi="Verdana" w:cs="Arial"/>
                <w:sz w:val="20"/>
                <w:szCs w:val="20"/>
              </w:rPr>
              <w:t xml:space="preserve"> se cumplió la meta, debido que este mes se realizó el contrato con Berlintz para la p</w:t>
            </w:r>
            <w:r w:rsidR="003A32AB" w:rsidRPr="00A41E2D">
              <w:rPr>
                <w:rFonts w:ascii="Verdana" w:hAnsi="Verdana" w:cs="Arial"/>
                <w:sz w:val="20"/>
                <w:szCs w:val="20"/>
              </w:rPr>
              <w:t>restación de servicios profesionales para desarrollar capacitación en idiomas como inglés, francés, alemán e italiano para los servidores</w:t>
            </w:r>
            <w:r w:rsidR="003A32AB">
              <w:rPr>
                <w:rFonts w:ascii="Verdana" w:hAnsi="Verdana" w:cs="Arial"/>
                <w:sz w:val="20"/>
                <w:szCs w:val="20"/>
              </w:rPr>
              <w:t xml:space="preserve">, se adquirieron los repuestos y los tóner para las impresoras y computadores de la entidad </w:t>
            </w:r>
            <w:r w:rsidR="003A32AB" w:rsidRPr="009C75C1">
              <w:rPr>
                <w:rFonts w:ascii="Verdana" w:hAnsi="Verdana" w:cs="Arial"/>
                <w:sz w:val="20"/>
                <w:szCs w:val="20"/>
              </w:rPr>
              <w:t xml:space="preserve">3) Superávit  en la ejecución de transferencias corrientes por </w:t>
            </w:r>
            <w:r w:rsidR="003A32AB">
              <w:rPr>
                <w:rFonts w:ascii="Verdana" w:hAnsi="Verdana" w:cs="Arial"/>
                <w:sz w:val="20"/>
                <w:szCs w:val="20"/>
              </w:rPr>
              <w:t>4.260,1</w:t>
            </w:r>
            <w:r w:rsidR="003A32AB" w:rsidRPr="009C75C1">
              <w:rPr>
                <w:rFonts w:ascii="Verdana" w:hAnsi="Verdana" w:cs="Arial"/>
                <w:sz w:val="20"/>
                <w:szCs w:val="20"/>
              </w:rPr>
              <w:t xml:space="preserve"> millones, discriminado así: i) </w:t>
            </w:r>
            <w:r w:rsidR="003A32AB">
              <w:rPr>
                <w:rFonts w:ascii="Verdana" w:hAnsi="Verdana" w:cs="Arial"/>
                <w:sz w:val="20"/>
                <w:szCs w:val="20"/>
              </w:rPr>
              <w:t>S</w:t>
            </w:r>
            <w:r w:rsidR="003A32AB" w:rsidRPr="0049603A">
              <w:rPr>
                <w:rFonts w:ascii="Verdana" w:hAnsi="Verdana" w:cs="Arial"/>
                <w:sz w:val="20"/>
                <w:szCs w:val="20"/>
              </w:rPr>
              <w:t xml:space="preserve">uperávit de </w:t>
            </w:r>
            <w:r w:rsidR="003A32AB">
              <w:rPr>
                <w:rFonts w:ascii="Verdana" w:hAnsi="Verdana" w:cs="Arial"/>
                <w:sz w:val="20"/>
                <w:szCs w:val="20"/>
              </w:rPr>
              <w:t>4.260,1</w:t>
            </w:r>
            <w:r w:rsidR="003A32AB" w:rsidRPr="0049603A">
              <w:rPr>
                <w:rFonts w:ascii="Verdana" w:hAnsi="Verdana" w:cs="Arial"/>
                <w:sz w:val="20"/>
                <w:szCs w:val="20"/>
              </w:rPr>
              <w:t xml:space="preserve"> millones de recursos provenientes del FOCAI, </w:t>
            </w:r>
            <w:r w:rsidR="003A32AB">
              <w:rPr>
                <w:rFonts w:ascii="Verdana" w:hAnsi="Verdana" w:cs="Arial"/>
                <w:sz w:val="20"/>
                <w:szCs w:val="20"/>
              </w:rPr>
              <w:t>debido que se suscribió el contrato de p</w:t>
            </w:r>
            <w:r w:rsidR="003A32AB" w:rsidRPr="00274D3C">
              <w:rPr>
                <w:rFonts w:ascii="Verdana" w:hAnsi="Verdana" w:cs="Arial"/>
                <w:sz w:val="20"/>
                <w:szCs w:val="20"/>
              </w:rPr>
              <w:t>restación de servicios para el fortalecimiento de capacidades en técnicas agropecuarias a campesinos de algunos países del Proyecto Mesoamérica</w:t>
            </w:r>
            <w:r w:rsidR="003A32AB">
              <w:rPr>
                <w:rFonts w:ascii="Verdana" w:hAnsi="Verdana" w:cs="Arial"/>
                <w:sz w:val="20"/>
                <w:szCs w:val="20"/>
              </w:rPr>
              <w:t xml:space="preserve"> con FUNDAPANACA, y el contrato con ALGOAP SAS para </w:t>
            </w:r>
            <w:r w:rsidR="003A32AB" w:rsidRPr="00274D3C">
              <w:rPr>
                <w:rFonts w:ascii="Verdana" w:hAnsi="Verdana" w:cs="Arial"/>
                <w:sz w:val="20"/>
                <w:szCs w:val="20"/>
              </w:rPr>
              <w:t>servicios de traducción e interpretación simultánea, consecutiva, susurrada y de documentos</w:t>
            </w:r>
            <w:r w:rsidR="003A32AB">
              <w:rPr>
                <w:rFonts w:ascii="Verdana" w:hAnsi="Verdana" w:cs="Arial"/>
                <w:sz w:val="20"/>
                <w:szCs w:val="20"/>
              </w:rPr>
              <w:t xml:space="preserve"> y se realizó una asistencia humanitaria con destino al Gobierno de La Republica de Honduras, </w:t>
            </w:r>
            <w:r w:rsidR="003A32AB" w:rsidRPr="00007EA0">
              <w:rPr>
                <w:rFonts w:ascii="Verdana" w:hAnsi="Verdana" w:cs="Arial"/>
                <w:sz w:val="20"/>
                <w:szCs w:val="20"/>
              </w:rPr>
              <w:t xml:space="preserve"> </w:t>
            </w:r>
            <w:r w:rsidR="003A32AB">
              <w:rPr>
                <w:rFonts w:ascii="Verdana" w:hAnsi="Verdana" w:cs="Arial"/>
                <w:sz w:val="20"/>
                <w:szCs w:val="20"/>
              </w:rPr>
              <w:t xml:space="preserve">se </w:t>
            </w:r>
            <w:r w:rsidR="003A32AB" w:rsidRPr="0049603A">
              <w:rPr>
                <w:rFonts w:ascii="Verdana" w:hAnsi="Verdana" w:cs="Arial"/>
                <w:sz w:val="20"/>
                <w:szCs w:val="20"/>
              </w:rPr>
              <w:t xml:space="preserve">cumplió la meta; ii) </w:t>
            </w:r>
            <w:r w:rsidR="003A32AB">
              <w:rPr>
                <w:rFonts w:ascii="Verdana" w:hAnsi="Verdana" w:cs="Arial"/>
                <w:sz w:val="20"/>
                <w:szCs w:val="20"/>
              </w:rPr>
              <w:t>se presentó déficit de 100 mil pesos</w:t>
            </w:r>
            <w:r w:rsidR="003A32AB" w:rsidRPr="0049603A">
              <w:rPr>
                <w:rFonts w:ascii="Verdana" w:hAnsi="Verdana" w:cs="Arial"/>
                <w:sz w:val="20"/>
                <w:szCs w:val="20"/>
              </w:rPr>
              <w:t xml:space="preserve">, </w:t>
            </w:r>
            <w:r w:rsidR="003A32AB">
              <w:rPr>
                <w:rFonts w:ascii="Verdana" w:hAnsi="Verdana" w:cs="Arial"/>
                <w:sz w:val="20"/>
                <w:szCs w:val="20"/>
              </w:rPr>
              <w:t>en incapacidades y licencias de maternidad este rubro varía según las incapacidades y licencias que radican el talento humano</w:t>
            </w:r>
            <w:r w:rsidR="003A32AB">
              <w:rPr>
                <w:rFonts w:ascii="Verdana" w:hAnsi="Verdana" w:cs="Arial"/>
                <w:b/>
                <w:sz w:val="20"/>
                <w:szCs w:val="20"/>
              </w:rPr>
              <w:t>.</w:t>
            </w:r>
          </w:p>
          <w:p w:rsidR="003A32AB" w:rsidRPr="00DF4C03" w:rsidRDefault="003A32AB" w:rsidP="00A81738">
            <w:pPr>
              <w:jc w:val="both"/>
              <w:rPr>
                <w:rFonts w:ascii="Verdana" w:hAnsi="Verdana"/>
                <w:sz w:val="20"/>
                <w:szCs w:val="20"/>
              </w:rPr>
            </w:pPr>
          </w:p>
          <w:p w:rsidR="003A32AB" w:rsidRDefault="003A32AB" w:rsidP="003A32AB">
            <w:pPr>
              <w:jc w:val="both"/>
              <w:rPr>
                <w:rFonts w:ascii="Verdana" w:hAnsi="Verdana" w:cs="Arial"/>
                <w:sz w:val="20"/>
                <w:szCs w:val="20"/>
              </w:rPr>
            </w:pPr>
            <w:r w:rsidRPr="00882814">
              <w:rPr>
                <w:rFonts w:ascii="Verdana" w:hAnsi="Verdana" w:cs="Arial"/>
                <w:sz w:val="20"/>
                <w:szCs w:val="20"/>
              </w:rPr>
              <w:t xml:space="preserve">La ejecución de los gastos de funcionamiento estuvo distribuida de la siguiente manera: </w:t>
            </w:r>
          </w:p>
          <w:p w:rsidR="003A32AB" w:rsidRPr="00882814" w:rsidRDefault="003A32AB" w:rsidP="003A32AB">
            <w:pPr>
              <w:jc w:val="both"/>
              <w:rPr>
                <w:rFonts w:ascii="Verdana" w:hAnsi="Verdana" w:cs="Arial"/>
                <w:sz w:val="20"/>
                <w:szCs w:val="20"/>
              </w:rPr>
            </w:pPr>
          </w:p>
          <w:p w:rsidR="003A32AB" w:rsidRPr="00882814" w:rsidRDefault="003A32AB" w:rsidP="003A32AB">
            <w:pPr>
              <w:jc w:val="both"/>
              <w:rPr>
                <w:rFonts w:ascii="Verdana" w:hAnsi="Verdana" w:cs="Arial"/>
                <w:sz w:val="20"/>
                <w:szCs w:val="20"/>
              </w:rPr>
            </w:pPr>
            <w:r w:rsidRPr="00882814">
              <w:rPr>
                <w:rFonts w:ascii="Verdana" w:hAnsi="Verdana" w:cs="Arial"/>
                <w:sz w:val="20"/>
                <w:szCs w:val="20"/>
              </w:rPr>
              <w:t xml:space="preserve">1) Los gastos de personal representan el </w:t>
            </w:r>
            <w:r>
              <w:rPr>
                <w:rFonts w:ascii="Verdana" w:hAnsi="Verdana" w:cs="Arial"/>
                <w:sz w:val="20"/>
                <w:szCs w:val="20"/>
              </w:rPr>
              <w:t>33,49</w:t>
            </w:r>
            <w:r w:rsidRPr="00882814">
              <w:rPr>
                <w:rFonts w:ascii="Verdana" w:hAnsi="Verdana" w:cs="Arial"/>
                <w:sz w:val="20"/>
                <w:szCs w:val="20"/>
              </w:rPr>
              <w:t>%.</w:t>
            </w:r>
          </w:p>
          <w:p w:rsidR="003A32AB" w:rsidRPr="00882814" w:rsidRDefault="003A32AB" w:rsidP="003A32AB">
            <w:pPr>
              <w:jc w:val="both"/>
              <w:rPr>
                <w:rFonts w:ascii="Verdana" w:hAnsi="Verdana" w:cs="Arial"/>
                <w:sz w:val="20"/>
                <w:szCs w:val="20"/>
              </w:rPr>
            </w:pPr>
            <w:r w:rsidRPr="00882814">
              <w:rPr>
                <w:rFonts w:ascii="Verdana" w:hAnsi="Verdana" w:cs="Arial"/>
                <w:sz w:val="20"/>
                <w:szCs w:val="20"/>
              </w:rPr>
              <w:lastRenderedPageBreak/>
              <w:t xml:space="preserve">2) Los gastos por adquisición de bienes y servicios representan el </w:t>
            </w:r>
            <w:r>
              <w:rPr>
                <w:rFonts w:ascii="Verdana" w:hAnsi="Verdana" w:cs="Arial"/>
                <w:sz w:val="20"/>
                <w:szCs w:val="20"/>
              </w:rPr>
              <w:t>19,47</w:t>
            </w:r>
            <w:r w:rsidRPr="00882814">
              <w:rPr>
                <w:rFonts w:ascii="Verdana" w:hAnsi="Verdana" w:cs="Arial"/>
                <w:sz w:val="20"/>
                <w:szCs w:val="20"/>
              </w:rPr>
              <w:t>%.</w:t>
            </w:r>
          </w:p>
          <w:p w:rsidR="003A32AB" w:rsidRDefault="003A32AB" w:rsidP="003A32AB">
            <w:pPr>
              <w:jc w:val="both"/>
              <w:rPr>
                <w:rFonts w:ascii="Verdana" w:hAnsi="Verdana" w:cs="Arial"/>
                <w:sz w:val="20"/>
                <w:szCs w:val="20"/>
              </w:rPr>
            </w:pPr>
            <w:r w:rsidRPr="00882814">
              <w:rPr>
                <w:rFonts w:ascii="Verdana" w:hAnsi="Verdana" w:cs="Arial"/>
                <w:sz w:val="20"/>
                <w:szCs w:val="20"/>
              </w:rPr>
              <w:t xml:space="preserve">3) Los gastos de transferencias corrientes representan el </w:t>
            </w:r>
            <w:r>
              <w:rPr>
                <w:rFonts w:ascii="Verdana" w:hAnsi="Verdana" w:cs="Arial"/>
                <w:sz w:val="20"/>
                <w:szCs w:val="20"/>
              </w:rPr>
              <w:t>47,04</w:t>
            </w:r>
            <w:r w:rsidRPr="00882814">
              <w:rPr>
                <w:rFonts w:ascii="Verdana" w:hAnsi="Verdana" w:cs="Arial"/>
                <w:sz w:val="20"/>
                <w:szCs w:val="20"/>
              </w:rPr>
              <w:t xml:space="preserve">%, el  </w:t>
            </w:r>
            <w:r>
              <w:rPr>
                <w:rFonts w:ascii="Verdana" w:hAnsi="Verdana" w:cs="Arial"/>
                <w:sz w:val="20"/>
                <w:szCs w:val="20"/>
              </w:rPr>
              <w:t>46,89</w:t>
            </w:r>
            <w:r w:rsidRPr="00882814">
              <w:rPr>
                <w:rFonts w:ascii="Verdana" w:hAnsi="Verdana" w:cs="Arial"/>
                <w:sz w:val="20"/>
                <w:szCs w:val="20"/>
              </w:rPr>
              <w:t xml:space="preserve">% correspondientes a gastos del Fondo de Cooperación y Asistencia Internacional – FOCAI Y el </w:t>
            </w:r>
            <w:r>
              <w:rPr>
                <w:rFonts w:ascii="Verdana" w:hAnsi="Verdana" w:cs="Arial"/>
                <w:sz w:val="20"/>
                <w:szCs w:val="20"/>
              </w:rPr>
              <w:t>0,16</w:t>
            </w:r>
            <w:r w:rsidRPr="00882814">
              <w:rPr>
                <w:rFonts w:ascii="Verdana" w:hAnsi="Verdana" w:cs="Arial"/>
                <w:sz w:val="20"/>
                <w:szCs w:val="20"/>
              </w:rPr>
              <w:t>% a Incapacidades y Licencias de maternidad</w:t>
            </w:r>
            <w:r>
              <w:rPr>
                <w:rFonts w:ascii="Verdana" w:hAnsi="Verdana" w:cs="Arial"/>
                <w:sz w:val="20"/>
                <w:szCs w:val="20"/>
              </w:rPr>
              <w:t xml:space="preserve"> y paternidad</w:t>
            </w:r>
            <w:r w:rsidRPr="00882814">
              <w:rPr>
                <w:rFonts w:ascii="Verdana" w:hAnsi="Verdana" w:cs="Arial"/>
                <w:sz w:val="20"/>
                <w:szCs w:val="20"/>
              </w:rPr>
              <w:t>.</w:t>
            </w:r>
          </w:p>
          <w:p w:rsidR="00873972" w:rsidRPr="00DF4C03" w:rsidRDefault="00873972" w:rsidP="008D1343">
            <w:pPr>
              <w:jc w:val="both"/>
              <w:rPr>
                <w:rFonts w:ascii="Verdana" w:hAnsi="Verdana"/>
                <w:sz w:val="20"/>
                <w:szCs w:val="20"/>
              </w:rPr>
            </w:pPr>
          </w:p>
        </w:tc>
        <w:tc>
          <w:tcPr>
            <w:tcW w:w="7064" w:type="dxa"/>
            <w:vAlign w:val="center"/>
          </w:tcPr>
          <w:p w:rsidR="00A81738" w:rsidRPr="008D7A3E" w:rsidRDefault="00A81738" w:rsidP="00EB3AF9">
            <w:pPr>
              <w:jc w:val="both"/>
              <w:rPr>
                <w:rFonts w:ascii="Verdana" w:hAnsi="Verdana"/>
                <w:sz w:val="20"/>
                <w:szCs w:val="20"/>
              </w:rPr>
            </w:pPr>
            <w:r w:rsidRPr="008D7A3E">
              <w:rPr>
                <w:rFonts w:ascii="Verdana" w:hAnsi="Verdana"/>
                <w:b/>
                <w:sz w:val="20"/>
                <w:szCs w:val="20"/>
              </w:rPr>
              <w:lastRenderedPageBreak/>
              <w:t xml:space="preserve">Indicador: </w:t>
            </w:r>
            <w:r w:rsidRPr="008D7A3E">
              <w:rPr>
                <w:rFonts w:ascii="Verdana" w:hAnsi="Verdana"/>
                <w:sz w:val="20"/>
                <w:szCs w:val="20"/>
              </w:rPr>
              <w:t>Ejecución Obligaciones / Apropiación Vigente.</w:t>
            </w:r>
          </w:p>
          <w:p w:rsidR="00A81738" w:rsidRPr="008D7A3E" w:rsidRDefault="007A6E7B" w:rsidP="00EB3AF9">
            <w:pPr>
              <w:jc w:val="both"/>
              <w:rPr>
                <w:rFonts w:ascii="Verdana" w:hAnsi="Verdana"/>
                <w:sz w:val="20"/>
                <w:szCs w:val="20"/>
              </w:rPr>
            </w:pPr>
            <w:r w:rsidRPr="008D7A3E">
              <w:rPr>
                <w:rFonts w:ascii="Verdana" w:hAnsi="Verdana"/>
                <w:b/>
                <w:sz w:val="20"/>
                <w:szCs w:val="20"/>
              </w:rPr>
              <w:t>Indicador:</w:t>
            </w:r>
            <w:r w:rsidRPr="008D7A3E">
              <w:rPr>
                <w:rFonts w:ascii="Verdana" w:hAnsi="Verdana"/>
                <w:sz w:val="20"/>
                <w:szCs w:val="20"/>
              </w:rPr>
              <w:t xml:space="preserve"> </w:t>
            </w:r>
            <w:r w:rsidR="00725ED1">
              <w:rPr>
                <w:rFonts w:ascii="Verdana" w:hAnsi="Verdana"/>
                <w:sz w:val="20"/>
                <w:szCs w:val="20"/>
              </w:rPr>
              <w:t>8.959,6</w:t>
            </w:r>
            <w:r w:rsidR="008C5467" w:rsidRPr="008D7A3E">
              <w:rPr>
                <w:rFonts w:ascii="Verdana" w:hAnsi="Verdana"/>
                <w:sz w:val="20"/>
                <w:szCs w:val="20"/>
              </w:rPr>
              <w:t xml:space="preserve">/ </w:t>
            </w:r>
            <w:r w:rsidR="00291F1C" w:rsidRPr="008D7A3E">
              <w:rPr>
                <w:rFonts w:ascii="Verdana" w:hAnsi="Verdana"/>
                <w:sz w:val="20"/>
                <w:szCs w:val="20"/>
              </w:rPr>
              <w:t xml:space="preserve">28.415,0 </w:t>
            </w:r>
            <w:r w:rsidR="00A81738" w:rsidRPr="008D7A3E">
              <w:rPr>
                <w:rFonts w:ascii="Verdana" w:hAnsi="Verdana"/>
                <w:sz w:val="20"/>
                <w:szCs w:val="20"/>
              </w:rPr>
              <w:t xml:space="preserve">= </w:t>
            </w:r>
            <w:r w:rsidR="00725ED1">
              <w:rPr>
                <w:rFonts w:ascii="Verdana" w:hAnsi="Verdana"/>
                <w:sz w:val="20"/>
                <w:szCs w:val="20"/>
              </w:rPr>
              <w:t>31,53</w:t>
            </w:r>
            <w:r w:rsidR="00A81738" w:rsidRPr="008D7A3E">
              <w:rPr>
                <w:rFonts w:ascii="Verdana" w:hAnsi="Verdana"/>
                <w:sz w:val="20"/>
                <w:szCs w:val="20"/>
              </w:rPr>
              <w:t>%.</w:t>
            </w:r>
          </w:p>
          <w:p w:rsidR="00A81738" w:rsidRPr="003A4A1F" w:rsidRDefault="00A81738" w:rsidP="00EB3AF9">
            <w:pPr>
              <w:jc w:val="both"/>
              <w:rPr>
                <w:rFonts w:ascii="Verdana" w:hAnsi="Verdana"/>
                <w:sz w:val="20"/>
                <w:szCs w:val="20"/>
                <w:highlight w:val="yellow"/>
              </w:rPr>
            </w:pPr>
          </w:p>
          <w:p w:rsidR="00C30F04" w:rsidRDefault="00A81738" w:rsidP="00EB3AF9">
            <w:pPr>
              <w:jc w:val="both"/>
              <w:rPr>
                <w:rFonts w:ascii="Verdana" w:hAnsi="Verdana" w:cs="Arial"/>
                <w:sz w:val="20"/>
                <w:szCs w:val="20"/>
                <w:lang w:val="es-CO"/>
              </w:rPr>
            </w:pPr>
            <w:r w:rsidRPr="00DF4C03">
              <w:rPr>
                <w:rFonts w:ascii="Verdana" w:hAnsi="Verdana"/>
                <w:sz w:val="20"/>
                <w:szCs w:val="20"/>
              </w:rPr>
              <w:t xml:space="preserve">Se han obligado </w:t>
            </w:r>
            <w:r w:rsidR="00EB3AF9">
              <w:rPr>
                <w:rFonts w:ascii="Verdana" w:hAnsi="Verdana"/>
                <w:sz w:val="20"/>
                <w:szCs w:val="20"/>
              </w:rPr>
              <w:t>8.959,6</w:t>
            </w:r>
            <w:r w:rsidR="008B1B31" w:rsidRPr="008D7A3E">
              <w:rPr>
                <w:rFonts w:ascii="Verdana" w:hAnsi="Verdana"/>
                <w:sz w:val="20"/>
                <w:szCs w:val="20"/>
              </w:rPr>
              <w:t xml:space="preserve"> </w:t>
            </w:r>
            <w:r w:rsidR="007A6E7B" w:rsidRPr="00DF4C03">
              <w:rPr>
                <w:rFonts w:ascii="Verdana" w:hAnsi="Verdana"/>
                <w:sz w:val="20"/>
                <w:szCs w:val="20"/>
              </w:rPr>
              <w:t xml:space="preserve">millones equivalentes al </w:t>
            </w:r>
            <w:r w:rsidR="00EB3AF9">
              <w:rPr>
                <w:rFonts w:ascii="Verdana" w:hAnsi="Verdana"/>
                <w:sz w:val="20"/>
                <w:szCs w:val="20"/>
              </w:rPr>
              <w:t>31,53</w:t>
            </w:r>
            <w:r w:rsidRPr="00DF4C03">
              <w:rPr>
                <w:rFonts w:ascii="Verdana" w:hAnsi="Verdana"/>
                <w:sz w:val="20"/>
                <w:szCs w:val="20"/>
              </w:rPr>
              <w:t>% del presupuesto de func</w:t>
            </w:r>
            <w:r w:rsidR="007A6E7B" w:rsidRPr="00DF4C03">
              <w:rPr>
                <w:rFonts w:ascii="Verdana" w:hAnsi="Verdana"/>
                <w:sz w:val="20"/>
                <w:szCs w:val="20"/>
              </w:rPr>
              <w:t xml:space="preserve">ionamiento, de una meta del </w:t>
            </w:r>
            <w:r w:rsidR="00EB3AF9">
              <w:rPr>
                <w:rFonts w:ascii="Verdana" w:hAnsi="Verdana"/>
                <w:sz w:val="20"/>
                <w:szCs w:val="20"/>
              </w:rPr>
              <w:t>29,40</w:t>
            </w:r>
            <w:r w:rsidR="00DF4C03" w:rsidRPr="00DF4C03">
              <w:rPr>
                <w:rFonts w:ascii="Verdana" w:hAnsi="Verdana"/>
                <w:sz w:val="20"/>
                <w:szCs w:val="20"/>
              </w:rPr>
              <w:t>%, generando</w:t>
            </w:r>
            <w:r w:rsidR="008C5467" w:rsidRPr="00DF4C03">
              <w:rPr>
                <w:rFonts w:ascii="Verdana" w:hAnsi="Verdana"/>
                <w:sz w:val="20"/>
                <w:szCs w:val="20"/>
              </w:rPr>
              <w:t xml:space="preserve"> un </w:t>
            </w:r>
            <w:r w:rsidR="0073363A">
              <w:rPr>
                <w:rFonts w:ascii="Verdana" w:hAnsi="Verdana"/>
                <w:sz w:val="20"/>
                <w:szCs w:val="20"/>
              </w:rPr>
              <w:t xml:space="preserve">superávit </w:t>
            </w:r>
            <w:r w:rsidR="008C5467" w:rsidRPr="00DF4C03">
              <w:rPr>
                <w:rFonts w:ascii="Verdana" w:hAnsi="Verdana"/>
                <w:sz w:val="20"/>
                <w:szCs w:val="20"/>
              </w:rPr>
              <w:t xml:space="preserve">de </w:t>
            </w:r>
            <w:r w:rsidR="00EB3AF9">
              <w:rPr>
                <w:rFonts w:ascii="Verdana" w:hAnsi="Verdana"/>
                <w:sz w:val="20"/>
                <w:szCs w:val="20"/>
              </w:rPr>
              <w:t>606,9</w:t>
            </w:r>
            <w:r w:rsidR="0069630A" w:rsidRPr="00DF4C03">
              <w:rPr>
                <w:rFonts w:ascii="Verdana" w:hAnsi="Verdana"/>
                <w:sz w:val="20"/>
                <w:szCs w:val="20"/>
              </w:rPr>
              <w:t xml:space="preserve"> </w:t>
            </w:r>
            <w:r w:rsidRPr="00DF4C03">
              <w:rPr>
                <w:rFonts w:ascii="Verdana" w:hAnsi="Verdana"/>
                <w:sz w:val="20"/>
                <w:szCs w:val="20"/>
              </w:rPr>
              <w:t>millones</w:t>
            </w:r>
            <w:r w:rsidR="00DF4C03" w:rsidRPr="00DF4C03">
              <w:rPr>
                <w:rFonts w:ascii="Verdana" w:hAnsi="Verdana"/>
                <w:sz w:val="20"/>
                <w:szCs w:val="20"/>
              </w:rPr>
              <w:t>,</w:t>
            </w:r>
            <w:r w:rsidRPr="00DF4C03">
              <w:rPr>
                <w:rFonts w:ascii="Verdana" w:hAnsi="Verdana"/>
                <w:sz w:val="20"/>
                <w:szCs w:val="20"/>
              </w:rPr>
              <w:t xml:space="preserve"> </w:t>
            </w:r>
            <w:r w:rsidR="0069630A" w:rsidRPr="00DF4C03">
              <w:rPr>
                <w:rFonts w:ascii="Verdana" w:hAnsi="Verdana"/>
                <w:sz w:val="20"/>
                <w:szCs w:val="20"/>
              </w:rPr>
              <w:t xml:space="preserve">explicado </w:t>
            </w:r>
            <w:r w:rsidR="00EB3AF9" w:rsidRPr="00C55089">
              <w:rPr>
                <w:rFonts w:ascii="Verdana" w:hAnsi="Verdana" w:cs="Arial"/>
                <w:sz w:val="20"/>
                <w:szCs w:val="20"/>
                <w:lang w:val="es-CO"/>
              </w:rPr>
              <w:t xml:space="preserve">1) Superávit  en la ejecución de gastos de personal por </w:t>
            </w:r>
            <w:r w:rsidR="00EB3AF9">
              <w:rPr>
                <w:rFonts w:ascii="Verdana" w:hAnsi="Verdana" w:cs="Arial"/>
                <w:sz w:val="20"/>
                <w:szCs w:val="20"/>
                <w:lang w:val="es-CO"/>
              </w:rPr>
              <w:t>88,9</w:t>
            </w:r>
            <w:r w:rsidR="00EB3AF9" w:rsidRPr="00C55089">
              <w:rPr>
                <w:rFonts w:ascii="Verdana" w:hAnsi="Verdana" w:cs="Arial"/>
                <w:sz w:val="20"/>
                <w:szCs w:val="20"/>
                <w:lang w:val="es-CO"/>
              </w:rPr>
              <w:t xml:space="preserve"> millones, se cumplió la meta.2) Superávit en la ejecución de adquisición de bienes y servicios por </w:t>
            </w:r>
            <w:r w:rsidR="00EB3AF9">
              <w:rPr>
                <w:rFonts w:ascii="Verdana" w:hAnsi="Verdana" w:cs="Arial"/>
                <w:sz w:val="20"/>
                <w:szCs w:val="20"/>
                <w:lang w:val="es-CO"/>
              </w:rPr>
              <w:t>1,6</w:t>
            </w:r>
            <w:r w:rsidR="00EB3AF9" w:rsidRPr="00C55089">
              <w:rPr>
                <w:rFonts w:ascii="Verdana" w:hAnsi="Verdana" w:cs="Arial"/>
                <w:sz w:val="20"/>
                <w:szCs w:val="20"/>
                <w:lang w:val="es-CO"/>
              </w:rPr>
              <w:t xml:space="preserve"> mil pesos, se cumplió la meta;3) </w:t>
            </w:r>
            <w:r w:rsidR="00EB3AF9">
              <w:rPr>
                <w:rFonts w:ascii="Verdana" w:hAnsi="Verdana" w:cs="Arial"/>
                <w:sz w:val="20"/>
                <w:szCs w:val="20"/>
                <w:lang w:val="es-CO"/>
              </w:rPr>
              <w:t>E</w:t>
            </w:r>
            <w:r w:rsidR="00EB3AF9" w:rsidRPr="00C55089">
              <w:rPr>
                <w:rFonts w:ascii="Verdana" w:hAnsi="Verdana" w:cs="Arial"/>
                <w:sz w:val="20"/>
                <w:szCs w:val="20"/>
                <w:lang w:val="es-CO"/>
              </w:rPr>
              <w:t>n la ejecución de transferencia</w:t>
            </w:r>
            <w:r w:rsidR="00EB3AF9">
              <w:rPr>
                <w:rFonts w:ascii="Verdana" w:hAnsi="Verdana" w:cs="Arial"/>
                <w:sz w:val="20"/>
                <w:szCs w:val="20"/>
                <w:lang w:val="es-CO"/>
              </w:rPr>
              <w:t xml:space="preserve">s </w:t>
            </w:r>
            <w:r w:rsidR="00EB3AF9" w:rsidRPr="00C55089">
              <w:rPr>
                <w:rFonts w:ascii="Verdana" w:hAnsi="Verdana" w:cs="Arial"/>
                <w:sz w:val="20"/>
                <w:szCs w:val="20"/>
                <w:lang w:val="es-CO"/>
              </w:rPr>
              <w:t>corrientes</w:t>
            </w:r>
            <w:r w:rsidR="00EB3AF9">
              <w:rPr>
                <w:rFonts w:ascii="Verdana" w:hAnsi="Verdana" w:cs="Arial"/>
                <w:sz w:val="20"/>
                <w:szCs w:val="20"/>
                <w:lang w:val="es-CO"/>
              </w:rPr>
              <w:t xml:space="preserve"> se presentó un superávit por 518,6 millones  </w:t>
            </w:r>
            <w:r w:rsidR="00EB3AF9" w:rsidRPr="00C55089">
              <w:rPr>
                <w:rFonts w:ascii="Verdana" w:hAnsi="Verdana" w:cs="Arial"/>
                <w:sz w:val="20"/>
                <w:szCs w:val="20"/>
                <w:lang w:val="es-CO"/>
              </w:rPr>
              <w:t xml:space="preserve"> en FOCAI, se cumplió la meta</w:t>
            </w:r>
            <w:r w:rsidR="00EB3AF9">
              <w:rPr>
                <w:rFonts w:ascii="Verdana" w:hAnsi="Verdana" w:cs="Arial"/>
                <w:sz w:val="20"/>
                <w:szCs w:val="20"/>
                <w:lang w:val="es-CO"/>
              </w:rPr>
              <w:t>,</w:t>
            </w:r>
            <w:r w:rsidR="00EB3AF9" w:rsidRPr="00C55089">
              <w:rPr>
                <w:rFonts w:ascii="Verdana" w:hAnsi="Verdana" w:cs="Arial"/>
                <w:sz w:val="20"/>
                <w:szCs w:val="20"/>
                <w:lang w:val="es-CO"/>
              </w:rPr>
              <w:t xml:space="preserve"> pero </w:t>
            </w:r>
            <w:r w:rsidR="00EB3AF9">
              <w:rPr>
                <w:rFonts w:ascii="Verdana" w:hAnsi="Verdana" w:cs="Arial"/>
                <w:sz w:val="20"/>
                <w:szCs w:val="20"/>
                <w:lang w:val="es-CO"/>
              </w:rPr>
              <w:t xml:space="preserve">se </w:t>
            </w:r>
            <w:r w:rsidR="00EB3AF9" w:rsidRPr="00C55089">
              <w:rPr>
                <w:rFonts w:ascii="Verdana" w:hAnsi="Verdana" w:cs="Arial"/>
                <w:sz w:val="20"/>
                <w:szCs w:val="20"/>
                <w:lang w:val="es-CO"/>
              </w:rPr>
              <w:t>presenta u</w:t>
            </w:r>
            <w:r w:rsidR="00EB3AF9">
              <w:rPr>
                <w:rFonts w:ascii="Verdana" w:hAnsi="Verdana" w:cs="Arial"/>
                <w:sz w:val="20"/>
                <w:szCs w:val="20"/>
                <w:lang w:val="es-CO"/>
              </w:rPr>
              <w:t>n déficit en incapacidades de 2,2 millones</w:t>
            </w:r>
            <w:r w:rsidR="00EB3AF9" w:rsidRPr="00C55089">
              <w:rPr>
                <w:rFonts w:ascii="Verdana" w:hAnsi="Verdana" w:cs="Arial"/>
                <w:sz w:val="20"/>
                <w:szCs w:val="20"/>
                <w:lang w:val="es-CO"/>
              </w:rPr>
              <w:t>, debido que este rubro  se afecta cuando  hay novedades de incapacidades radicadas en talento humano.</w:t>
            </w:r>
          </w:p>
          <w:p w:rsidR="009109AF" w:rsidRDefault="009109AF" w:rsidP="00EB3AF9">
            <w:pPr>
              <w:jc w:val="both"/>
              <w:rPr>
                <w:rFonts w:ascii="Verdana" w:hAnsi="Verdana" w:cs="Arial"/>
                <w:sz w:val="20"/>
                <w:szCs w:val="20"/>
                <w:lang w:val="es-CO"/>
              </w:rPr>
            </w:pPr>
          </w:p>
          <w:p w:rsidR="00EB3AF9" w:rsidRDefault="00EB3AF9" w:rsidP="00EB3AF9">
            <w:pPr>
              <w:jc w:val="both"/>
              <w:rPr>
                <w:rFonts w:ascii="Verdana" w:hAnsi="Verdana" w:cs="Arial"/>
                <w:sz w:val="20"/>
                <w:szCs w:val="20"/>
              </w:rPr>
            </w:pPr>
            <w:r w:rsidRPr="007C68D7">
              <w:rPr>
                <w:rFonts w:ascii="Verdana" w:hAnsi="Verdana" w:cs="Arial"/>
                <w:sz w:val="20"/>
                <w:szCs w:val="20"/>
              </w:rPr>
              <w:t>La ejecución en funcionamiento se distribuyó así:</w:t>
            </w:r>
          </w:p>
          <w:p w:rsidR="009109AF" w:rsidRPr="007C68D7" w:rsidRDefault="009109AF" w:rsidP="00EB3AF9">
            <w:pPr>
              <w:jc w:val="both"/>
              <w:rPr>
                <w:rFonts w:ascii="Verdana" w:hAnsi="Verdana" w:cs="Arial"/>
                <w:sz w:val="20"/>
                <w:szCs w:val="20"/>
              </w:rPr>
            </w:pPr>
          </w:p>
          <w:p w:rsidR="00EB3AF9" w:rsidRPr="007C68D7" w:rsidRDefault="00EB3AF9" w:rsidP="00EB3AF9">
            <w:pPr>
              <w:jc w:val="both"/>
              <w:rPr>
                <w:rFonts w:ascii="Verdana" w:hAnsi="Verdana" w:cs="Arial"/>
                <w:sz w:val="20"/>
                <w:szCs w:val="20"/>
              </w:rPr>
            </w:pPr>
            <w:r w:rsidRPr="007C68D7">
              <w:rPr>
                <w:rFonts w:ascii="Verdana" w:hAnsi="Verdana" w:cs="Arial"/>
                <w:sz w:val="20"/>
                <w:szCs w:val="20"/>
              </w:rPr>
              <w:t xml:space="preserve">1) Gastos de personal con el </w:t>
            </w:r>
            <w:r>
              <w:rPr>
                <w:rFonts w:ascii="Verdana" w:hAnsi="Verdana" w:cs="Arial"/>
                <w:sz w:val="20"/>
                <w:szCs w:val="20"/>
              </w:rPr>
              <w:t>58,06</w:t>
            </w:r>
            <w:r w:rsidRPr="007C68D7">
              <w:rPr>
                <w:rFonts w:ascii="Verdana" w:hAnsi="Verdana" w:cs="Arial"/>
                <w:sz w:val="20"/>
                <w:szCs w:val="20"/>
              </w:rPr>
              <w:t>%.</w:t>
            </w:r>
          </w:p>
          <w:p w:rsidR="00EB3AF9" w:rsidRPr="007C68D7" w:rsidRDefault="00EB3AF9" w:rsidP="00EB3AF9">
            <w:pPr>
              <w:jc w:val="both"/>
              <w:rPr>
                <w:rFonts w:ascii="Verdana" w:hAnsi="Verdana" w:cs="Arial"/>
                <w:sz w:val="20"/>
                <w:szCs w:val="20"/>
              </w:rPr>
            </w:pPr>
            <w:r w:rsidRPr="007C68D7">
              <w:rPr>
                <w:rFonts w:ascii="Verdana" w:hAnsi="Verdana" w:cs="Arial"/>
                <w:sz w:val="20"/>
                <w:szCs w:val="20"/>
              </w:rPr>
              <w:t xml:space="preserve">2) Gastos por adquisición de bienes y servicios con el </w:t>
            </w:r>
            <w:r>
              <w:rPr>
                <w:rFonts w:ascii="Verdana" w:hAnsi="Verdana" w:cs="Arial"/>
                <w:sz w:val="20"/>
                <w:szCs w:val="20"/>
              </w:rPr>
              <w:t>22,49</w:t>
            </w:r>
            <w:r w:rsidRPr="007C68D7">
              <w:rPr>
                <w:rFonts w:ascii="Verdana" w:hAnsi="Verdana" w:cs="Arial"/>
                <w:sz w:val="20"/>
                <w:szCs w:val="20"/>
              </w:rPr>
              <w:t>%.</w:t>
            </w:r>
          </w:p>
          <w:p w:rsidR="00EB3AF9" w:rsidRDefault="00EB3AF9" w:rsidP="00EB3AF9">
            <w:pPr>
              <w:jc w:val="both"/>
              <w:rPr>
                <w:rFonts w:ascii="Verdana" w:hAnsi="Verdana" w:cs="Arial"/>
                <w:sz w:val="20"/>
                <w:szCs w:val="20"/>
              </w:rPr>
            </w:pPr>
            <w:r w:rsidRPr="007C68D7">
              <w:rPr>
                <w:rFonts w:ascii="Verdana" w:hAnsi="Verdana" w:cs="Arial"/>
                <w:sz w:val="20"/>
                <w:szCs w:val="20"/>
              </w:rPr>
              <w:t xml:space="preserve">3) </w:t>
            </w:r>
            <w:r>
              <w:rPr>
                <w:rFonts w:ascii="Verdana" w:hAnsi="Verdana" w:cs="Arial"/>
                <w:sz w:val="20"/>
                <w:szCs w:val="20"/>
              </w:rPr>
              <w:t xml:space="preserve">Gastos </w:t>
            </w:r>
            <w:r w:rsidRPr="00882814">
              <w:rPr>
                <w:rFonts w:ascii="Verdana" w:hAnsi="Verdana" w:cs="Arial"/>
                <w:sz w:val="20"/>
                <w:szCs w:val="20"/>
              </w:rPr>
              <w:t xml:space="preserve">de transferencias corrientes representan el </w:t>
            </w:r>
            <w:r>
              <w:rPr>
                <w:rFonts w:ascii="Verdana" w:hAnsi="Verdana" w:cs="Arial"/>
                <w:sz w:val="20"/>
                <w:szCs w:val="20"/>
              </w:rPr>
              <w:t>19,44</w:t>
            </w:r>
            <w:r w:rsidRPr="00882814">
              <w:rPr>
                <w:rFonts w:ascii="Verdana" w:hAnsi="Verdana" w:cs="Arial"/>
                <w:sz w:val="20"/>
                <w:szCs w:val="20"/>
              </w:rPr>
              <w:t xml:space="preserve">%, el  </w:t>
            </w:r>
            <w:r>
              <w:rPr>
                <w:rFonts w:ascii="Verdana" w:hAnsi="Verdana" w:cs="Arial"/>
                <w:sz w:val="20"/>
                <w:szCs w:val="20"/>
              </w:rPr>
              <w:t>19,20</w:t>
            </w:r>
            <w:r w:rsidRPr="00882814">
              <w:rPr>
                <w:rFonts w:ascii="Verdana" w:hAnsi="Verdana" w:cs="Arial"/>
                <w:sz w:val="20"/>
                <w:szCs w:val="20"/>
              </w:rPr>
              <w:t xml:space="preserve">% correspondientes a gastos del Fondo de Cooperación y Asistencia Internacional – FOCAI Y el </w:t>
            </w:r>
            <w:r>
              <w:rPr>
                <w:rFonts w:ascii="Verdana" w:hAnsi="Verdana" w:cs="Arial"/>
                <w:sz w:val="20"/>
                <w:szCs w:val="20"/>
              </w:rPr>
              <w:t>0,24</w:t>
            </w:r>
            <w:r w:rsidRPr="00882814">
              <w:rPr>
                <w:rFonts w:ascii="Verdana" w:hAnsi="Verdana" w:cs="Arial"/>
                <w:sz w:val="20"/>
                <w:szCs w:val="20"/>
              </w:rPr>
              <w:t>% a Incapaci</w:t>
            </w:r>
            <w:r>
              <w:rPr>
                <w:rFonts w:ascii="Verdana" w:hAnsi="Verdana" w:cs="Arial"/>
                <w:sz w:val="20"/>
                <w:szCs w:val="20"/>
              </w:rPr>
              <w:t>dades y Licencias de maternidad y paternidad.</w:t>
            </w:r>
          </w:p>
          <w:p w:rsidR="00EB3AF9" w:rsidRDefault="00EB3AF9" w:rsidP="00EB3AF9">
            <w:pPr>
              <w:jc w:val="both"/>
              <w:rPr>
                <w:rFonts w:ascii="Verdana" w:hAnsi="Verdana" w:cs="Arial"/>
                <w:sz w:val="20"/>
                <w:szCs w:val="20"/>
                <w:lang w:val="es-CO"/>
              </w:rPr>
            </w:pPr>
          </w:p>
          <w:p w:rsidR="00EB3AF9" w:rsidRDefault="00EB3AF9" w:rsidP="00EB3AF9">
            <w:pPr>
              <w:jc w:val="both"/>
              <w:rPr>
                <w:rFonts w:ascii="Verdana" w:hAnsi="Verdana" w:cs="Arial"/>
                <w:sz w:val="20"/>
                <w:szCs w:val="20"/>
                <w:lang w:val="es-CO"/>
              </w:rPr>
            </w:pPr>
          </w:p>
          <w:p w:rsidR="00EB3AF9" w:rsidRDefault="00EB3AF9" w:rsidP="00EB3AF9">
            <w:pPr>
              <w:jc w:val="both"/>
              <w:rPr>
                <w:rFonts w:ascii="Verdana" w:hAnsi="Verdana" w:cs="Arial"/>
                <w:sz w:val="20"/>
                <w:szCs w:val="20"/>
                <w:lang w:val="es-CO"/>
              </w:rPr>
            </w:pPr>
          </w:p>
          <w:p w:rsidR="00EB3AF9" w:rsidRDefault="00EB3AF9" w:rsidP="00EB3AF9">
            <w:pPr>
              <w:jc w:val="both"/>
              <w:rPr>
                <w:rFonts w:ascii="Verdana" w:hAnsi="Verdana" w:cs="Arial"/>
                <w:sz w:val="20"/>
                <w:szCs w:val="20"/>
                <w:lang w:val="es-CO"/>
              </w:rPr>
            </w:pPr>
          </w:p>
          <w:p w:rsidR="00EB3AF9" w:rsidRDefault="00EB3AF9" w:rsidP="00EB3AF9">
            <w:pPr>
              <w:jc w:val="both"/>
              <w:rPr>
                <w:rFonts w:ascii="Verdana" w:hAnsi="Verdana" w:cs="Arial"/>
                <w:sz w:val="20"/>
                <w:szCs w:val="20"/>
                <w:lang w:val="es-CO"/>
              </w:rPr>
            </w:pPr>
          </w:p>
          <w:p w:rsidR="00EB3AF9" w:rsidRDefault="00EB3AF9" w:rsidP="00EB3AF9">
            <w:pPr>
              <w:jc w:val="both"/>
              <w:rPr>
                <w:rFonts w:ascii="Verdana" w:hAnsi="Verdana" w:cs="Arial"/>
                <w:sz w:val="20"/>
                <w:szCs w:val="20"/>
                <w:lang w:val="es-CO"/>
              </w:rPr>
            </w:pPr>
          </w:p>
          <w:p w:rsidR="00EB3AF9" w:rsidRDefault="00EB3AF9" w:rsidP="00EB3AF9">
            <w:pPr>
              <w:jc w:val="both"/>
              <w:rPr>
                <w:rFonts w:ascii="Verdana" w:hAnsi="Verdana" w:cs="Arial"/>
                <w:sz w:val="20"/>
                <w:szCs w:val="20"/>
                <w:lang w:val="es-CO"/>
              </w:rPr>
            </w:pPr>
          </w:p>
          <w:p w:rsidR="00EB3AF9" w:rsidRDefault="00EB3AF9" w:rsidP="00EB3AF9">
            <w:pPr>
              <w:jc w:val="both"/>
              <w:rPr>
                <w:rFonts w:ascii="Verdana" w:hAnsi="Verdana" w:cs="Arial"/>
                <w:sz w:val="20"/>
                <w:szCs w:val="20"/>
                <w:lang w:val="es-CO"/>
              </w:rPr>
            </w:pPr>
          </w:p>
          <w:p w:rsidR="008D7A3E" w:rsidRPr="003A4A1F" w:rsidRDefault="008D7A3E" w:rsidP="00EB3AF9">
            <w:pPr>
              <w:jc w:val="both"/>
              <w:rPr>
                <w:rFonts w:ascii="Verdana" w:hAnsi="Verdana"/>
                <w:sz w:val="20"/>
                <w:szCs w:val="20"/>
                <w:highlight w:val="yellow"/>
              </w:rPr>
            </w:pPr>
          </w:p>
        </w:tc>
      </w:tr>
    </w:tbl>
    <w:p w:rsidR="00873972" w:rsidRDefault="003C58A7" w:rsidP="003C58A7">
      <w:pPr>
        <w:tabs>
          <w:tab w:val="left" w:pos="1110"/>
        </w:tabs>
        <w:rPr>
          <w:rFonts w:ascii="Verdana" w:hAnsi="Verdana"/>
          <w:sz w:val="20"/>
          <w:szCs w:val="20"/>
        </w:rPr>
      </w:pPr>
      <w:r w:rsidRPr="00DF4C03">
        <w:rPr>
          <w:rFonts w:ascii="Verdana" w:hAnsi="Verdana"/>
          <w:sz w:val="20"/>
          <w:szCs w:val="20"/>
        </w:rPr>
        <w:lastRenderedPageBreak/>
        <w:tab/>
      </w:r>
    </w:p>
    <w:p w:rsidR="007E4852" w:rsidRPr="00DF4C03" w:rsidRDefault="007E4852" w:rsidP="003C58A7">
      <w:pPr>
        <w:tabs>
          <w:tab w:val="left" w:pos="1110"/>
        </w:tabs>
        <w:rPr>
          <w:rFonts w:ascii="Verdana" w:hAnsi="Verdana"/>
          <w:sz w:val="20"/>
          <w:szCs w:val="20"/>
        </w:rPr>
      </w:pPr>
    </w:p>
    <w:p w:rsidR="00873972" w:rsidRPr="00DF4C03" w:rsidRDefault="00873972" w:rsidP="00B41CB3">
      <w:pPr>
        <w:rPr>
          <w:rFonts w:ascii="Verdana" w:hAnsi="Verdana"/>
          <w:b/>
          <w:sz w:val="22"/>
          <w:szCs w:val="20"/>
        </w:rPr>
      </w:pPr>
      <w:r w:rsidRPr="00334403">
        <w:rPr>
          <w:rFonts w:ascii="Verdana" w:hAnsi="Verdana"/>
          <w:b/>
          <w:sz w:val="22"/>
          <w:szCs w:val="20"/>
        </w:rPr>
        <w:t>Gastos de Personal</w:t>
      </w:r>
    </w:p>
    <w:tbl>
      <w:tblPr>
        <w:tblStyle w:val="Tablaconcuadrcula"/>
        <w:tblW w:w="0" w:type="auto"/>
        <w:tblLook w:val="04A0" w:firstRow="1" w:lastRow="0" w:firstColumn="1" w:lastColumn="0" w:noHBand="0" w:noVBand="1"/>
      </w:tblPr>
      <w:tblGrid>
        <w:gridCol w:w="6638"/>
        <w:gridCol w:w="6640"/>
      </w:tblGrid>
      <w:tr w:rsidR="003F2322" w:rsidRPr="003A4A1F" w:rsidTr="00273008">
        <w:tc>
          <w:tcPr>
            <w:tcW w:w="6638" w:type="dxa"/>
            <w:shd w:val="clear" w:color="auto" w:fill="auto"/>
          </w:tcPr>
          <w:p w:rsidR="003F2322" w:rsidRPr="00DF4C03" w:rsidRDefault="003F2322" w:rsidP="00B41CB3">
            <w:pPr>
              <w:jc w:val="center"/>
              <w:rPr>
                <w:rFonts w:ascii="Verdana" w:hAnsi="Verdana"/>
                <w:b/>
                <w:sz w:val="22"/>
                <w:szCs w:val="20"/>
              </w:rPr>
            </w:pPr>
            <w:r w:rsidRPr="00DF4C03">
              <w:rPr>
                <w:rFonts w:ascii="Verdana" w:hAnsi="Verdana"/>
                <w:b/>
                <w:sz w:val="22"/>
                <w:szCs w:val="20"/>
              </w:rPr>
              <w:t>Compromisos</w:t>
            </w:r>
          </w:p>
        </w:tc>
        <w:tc>
          <w:tcPr>
            <w:tcW w:w="6640" w:type="dxa"/>
            <w:shd w:val="clear" w:color="auto" w:fill="auto"/>
          </w:tcPr>
          <w:p w:rsidR="003F2322" w:rsidRPr="00DF4C03" w:rsidRDefault="003F2322" w:rsidP="00B41CB3">
            <w:pPr>
              <w:jc w:val="center"/>
              <w:rPr>
                <w:rFonts w:ascii="Verdana" w:hAnsi="Verdana"/>
                <w:b/>
                <w:sz w:val="22"/>
                <w:szCs w:val="20"/>
              </w:rPr>
            </w:pPr>
            <w:r w:rsidRPr="00DC1A81">
              <w:rPr>
                <w:rFonts w:ascii="Verdana" w:hAnsi="Verdana"/>
                <w:b/>
                <w:sz w:val="22"/>
                <w:szCs w:val="20"/>
              </w:rPr>
              <w:t>Obligaciones</w:t>
            </w:r>
          </w:p>
        </w:tc>
      </w:tr>
      <w:tr w:rsidR="00873972" w:rsidRPr="003A4A1F" w:rsidTr="00273008">
        <w:tc>
          <w:tcPr>
            <w:tcW w:w="6638" w:type="dxa"/>
            <w:shd w:val="clear" w:color="auto" w:fill="auto"/>
            <w:vAlign w:val="center"/>
          </w:tcPr>
          <w:p w:rsidR="00A81738" w:rsidRPr="008A2AC9" w:rsidRDefault="00A81738" w:rsidP="00A81738">
            <w:pPr>
              <w:jc w:val="both"/>
              <w:rPr>
                <w:rFonts w:ascii="Verdana" w:eastAsia="Times New Roman" w:hAnsi="Verdana" w:cs="Times New Roman"/>
                <w:sz w:val="20"/>
                <w:szCs w:val="20"/>
              </w:rPr>
            </w:pPr>
            <w:r w:rsidRPr="008A2AC9">
              <w:rPr>
                <w:rFonts w:ascii="Verdana" w:eastAsia="Times New Roman" w:hAnsi="Verdana" w:cs="Times New Roman"/>
                <w:b/>
                <w:sz w:val="20"/>
                <w:szCs w:val="20"/>
              </w:rPr>
              <w:t>Indicador:</w:t>
            </w:r>
            <w:r w:rsidRPr="008A2AC9">
              <w:rPr>
                <w:rFonts w:ascii="Verdana" w:eastAsia="Times New Roman" w:hAnsi="Verdana" w:cs="Times New Roman"/>
                <w:sz w:val="20"/>
                <w:szCs w:val="20"/>
              </w:rPr>
              <w:t xml:space="preserve"> Ejecución Compromisos / Apropiación Vigente.</w:t>
            </w:r>
          </w:p>
          <w:p w:rsidR="00A81738" w:rsidRPr="008A2AC9" w:rsidRDefault="00A81738" w:rsidP="00A81738">
            <w:pPr>
              <w:jc w:val="both"/>
              <w:rPr>
                <w:rFonts w:ascii="Verdana" w:eastAsia="Times New Roman" w:hAnsi="Verdana" w:cs="Times New Roman"/>
                <w:sz w:val="20"/>
                <w:szCs w:val="20"/>
              </w:rPr>
            </w:pPr>
            <w:r w:rsidRPr="008A2AC9">
              <w:rPr>
                <w:rFonts w:ascii="Verdana" w:eastAsia="Times New Roman" w:hAnsi="Verdana" w:cs="Times New Roman"/>
                <w:b/>
                <w:sz w:val="20"/>
                <w:szCs w:val="20"/>
              </w:rPr>
              <w:t>Indicador:</w:t>
            </w:r>
            <w:r w:rsidR="00B378AF" w:rsidRPr="008A2AC9">
              <w:rPr>
                <w:rFonts w:ascii="Verdana" w:eastAsia="Times New Roman" w:hAnsi="Verdana" w:cs="Times New Roman"/>
                <w:sz w:val="20"/>
                <w:szCs w:val="20"/>
              </w:rPr>
              <w:t xml:space="preserve"> </w:t>
            </w:r>
            <w:r w:rsidR="004D0FC7">
              <w:rPr>
                <w:rFonts w:ascii="Verdana" w:eastAsia="Times New Roman" w:hAnsi="Verdana" w:cs="Times New Roman"/>
                <w:sz w:val="20"/>
                <w:szCs w:val="20"/>
              </w:rPr>
              <w:t>5.202,9</w:t>
            </w:r>
            <w:r w:rsidR="00A07B48" w:rsidRPr="008A2AC9">
              <w:rPr>
                <w:rFonts w:ascii="Verdana" w:eastAsia="Times New Roman" w:hAnsi="Verdana" w:cs="Times New Roman"/>
                <w:sz w:val="20"/>
                <w:szCs w:val="20"/>
              </w:rPr>
              <w:t xml:space="preserve"> </w:t>
            </w:r>
            <w:r w:rsidR="009F7DB7" w:rsidRPr="008A2AC9">
              <w:rPr>
                <w:rFonts w:ascii="Verdana" w:eastAsia="Times New Roman" w:hAnsi="Verdana" w:cs="Times New Roman"/>
                <w:sz w:val="20"/>
                <w:szCs w:val="20"/>
              </w:rPr>
              <w:t xml:space="preserve">/ </w:t>
            </w:r>
            <w:r w:rsidR="00A07B48" w:rsidRPr="008A2AC9">
              <w:rPr>
                <w:rFonts w:ascii="Verdana" w:eastAsia="Times New Roman" w:hAnsi="Verdana" w:cs="Times New Roman"/>
                <w:sz w:val="20"/>
                <w:szCs w:val="20"/>
              </w:rPr>
              <w:t>9</w:t>
            </w:r>
            <w:r w:rsidR="003C51CF" w:rsidRPr="008A2AC9">
              <w:rPr>
                <w:rFonts w:ascii="Verdana" w:eastAsia="Times New Roman" w:hAnsi="Verdana" w:cs="Times New Roman"/>
                <w:sz w:val="20"/>
                <w:szCs w:val="20"/>
              </w:rPr>
              <w:t>.</w:t>
            </w:r>
            <w:r w:rsidR="00A07B48" w:rsidRPr="008A2AC9">
              <w:rPr>
                <w:rFonts w:ascii="Verdana" w:eastAsia="Times New Roman" w:hAnsi="Verdana" w:cs="Times New Roman"/>
                <w:sz w:val="20"/>
                <w:szCs w:val="20"/>
              </w:rPr>
              <w:t>548,0</w:t>
            </w:r>
            <w:r w:rsidR="009F7DB7" w:rsidRPr="008A2AC9">
              <w:rPr>
                <w:rFonts w:ascii="Verdana" w:eastAsia="Times New Roman" w:hAnsi="Verdana" w:cs="Times New Roman"/>
                <w:sz w:val="20"/>
                <w:szCs w:val="20"/>
              </w:rPr>
              <w:t xml:space="preserve"> = </w:t>
            </w:r>
            <w:r w:rsidR="004D0FC7">
              <w:rPr>
                <w:rFonts w:ascii="Verdana" w:eastAsia="Times New Roman" w:hAnsi="Verdana" w:cs="Times New Roman"/>
                <w:sz w:val="20"/>
                <w:szCs w:val="20"/>
              </w:rPr>
              <w:t>54,49</w:t>
            </w:r>
            <w:r w:rsidRPr="008A2AC9">
              <w:rPr>
                <w:rFonts w:ascii="Verdana" w:eastAsia="Times New Roman" w:hAnsi="Verdana" w:cs="Times New Roman"/>
                <w:sz w:val="20"/>
                <w:szCs w:val="20"/>
              </w:rPr>
              <w:t>%.</w:t>
            </w:r>
          </w:p>
          <w:p w:rsidR="00A81738" w:rsidRPr="003A4A1F" w:rsidRDefault="00A81738" w:rsidP="00A81738">
            <w:pPr>
              <w:jc w:val="both"/>
              <w:rPr>
                <w:rFonts w:ascii="Verdana" w:eastAsia="Times New Roman" w:hAnsi="Verdana" w:cs="Times New Roman"/>
                <w:sz w:val="20"/>
                <w:szCs w:val="20"/>
                <w:highlight w:val="yellow"/>
              </w:rPr>
            </w:pPr>
          </w:p>
          <w:p w:rsidR="00C02F3C" w:rsidRDefault="00A81738" w:rsidP="00F420E8">
            <w:pPr>
              <w:jc w:val="both"/>
              <w:rPr>
                <w:rFonts w:ascii="Verdana" w:hAnsi="Verdana" w:cs="Arial"/>
                <w:sz w:val="20"/>
                <w:szCs w:val="20"/>
              </w:rPr>
            </w:pPr>
            <w:r w:rsidRPr="007E4852">
              <w:rPr>
                <w:rFonts w:ascii="Verdana" w:eastAsia="Times New Roman" w:hAnsi="Verdana" w:cs="Times New Roman"/>
                <w:sz w:val="20"/>
                <w:szCs w:val="20"/>
              </w:rPr>
              <w:t xml:space="preserve">El total de los compromisos de los gastos de personal alcanzó el </w:t>
            </w:r>
            <w:r w:rsidR="009219DA">
              <w:rPr>
                <w:rFonts w:ascii="Verdana" w:eastAsia="Times New Roman" w:hAnsi="Verdana" w:cs="Times New Roman"/>
                <w:sz w:val="20"/>
                <w:szCs w:val="20"/>
              </w:rPr>
              <w:t>54,49</w:t>
            </w:r>
            <w:r w:rsidRPr="007E4852">
              <w:rPr>
                <w:rFonts w:ascii="Verdana" w:eastAsia="Times New Roman" w:hAnsi="Verdana" w:cs="Times New Roman"/>
                <w:sz w:val="20"/>
                <w:szCs w:val="20"/>
              </w:rPr>
              <w:t xml:space="preserve">% equivalente a </w:t>
            </w:r>
            <w:r w:rsidR="009219DA">
              <w:rPr>
                <w:rFonts w:ascii="Verdana" w:eastAsia="Times New Roman" w:hAnsi="Verdana" w:cs="Times New Roman"/>
                <w:sz w:val="20"/>
                <w:szCs w:val="20"/>
              </w:rPr>
              <w:t>5.202,9</w:t>
            </w:r>
            <w:r w:rsidRPr="007E4852">
              <w:rPr>
                <w:rFonts w:ascii="Verdana" w:eastAsia="Times New Roman" w:hAnsi="Verdana" w:cs="Times New Roman"/>
                <w:sz w:val="20"/>
                <w:szCs w:val="20"/>
              </w:rPr>
              <w:t xml:space="preserve"> millones de una apropiación vigente de 9.</w:t>
            </w:r>
            <w:r w:rsidR="00A07B48" w:rsidRPr="007E4852">
              <w:rPr>
                <w:rFonts w:ascii="Verdana" w:eastAsia="Times New Roman" w:hAnsi="Verdana" w:cs="Times New Roman"/>
                <w:sz w:val="20"/>
                <w:szCs w:val="20"/>
              </w:rPr>
              <w:t>548,0</w:t>
            </w:r>
            <w:r w:rsidRPr="007E4852">
              <w:rPr>
                <w:rFonts w:ascii="Verdana" w:eastAsia="Times New Roman" w:hAnsi="Verdana" w:cs="Times New Roman"/>
                <w:sz w:val="20"/>
                <w:szCs w:val="20"/>
              </w:rPr>
              <w:t xml:space="preserve"> millones, frente a una meta de ejecución del </w:t>
            </w:r>
            <w:r w:rsidR="009219DA">
              <w:rPr>
                <w:rFonts w:ascii="Verdana" w:eastAsia="Times New Roman" w:hAnsi="Verdana" w:cs="Times New Roman"/>
                <w:sz w:val="20"/>
                <w:szCs w:val="20"/>
              </w:rPr>
              <w:t>53,88</w:t>
            </w:r>
            <w:r w:rsidR="00A07B48" w:rsidRPr="007E4852">
              <w:rPr>
                <w:rFonts w:ascii="Verdana" w:eastAsia="Times New Roman" w:hAnsi="Verdana" w:cs="Times New Roman"/>
                <w:sz w:val="20"/>
                <w:szCs w:val="20"/>
              </w:rPr>
              <w:t xml:space="preserve">%, </w:t>
            </w:r>
            <w:r w:rsidR="00841F3B">
              <w:rPr>
                <w:rFonts w:ascii="Verdana" w:eastAsia="Times New Roman" w:hAnsi="Verdana" w:cs="Times New Roman"/>
                <w:sz w:val="20"/>
                <w:szCs w:val="20"/>
              </w:rPr>
              <w:t xml:space="preserve">generándose </w:t>
            </w:r>
            <w:r w:rsidR="00C02F3C">
              <w:rPr>
                <w:rFonts w:ascii="Verdana" w:hAnsi="Verdana" w:cs="Arial"/>
                <w:sz w:val="20"/>
                <w:szCs w:val="20"/>
              </w:rPr>
              <w:t>Superávit</w:t>
            </w:r>
            <w:r w:rsidR="00C02F3C" w:rsidRPr="00902BE7">
              <w:rPr>
                <w:rFonts w:ascii="Verdana" w:hAnsi="Verdana" w:cs="Arial"/>
                <w:sz w:val="20"/>
                <w:szCs w:val="20"/>
              </w:rPr>
              <w:t xml:space="preserve">  en la ejecución de gastos de personal por </w:t>
            </w:r>
            <w:r w:rsidR="00664049">
              <w:rPr>
                <w:rFonts w:ascii="Verdana" w:hAnsi="Verdana" w:cs="Arial"/>
                <w:sz w:val="20"/>
                <w:szCs w:val="20"/>
              </w:rPr>
              <w:t>58,4</w:t>
            </w:r>
            <w:r w:rsidR="00C02F3C">
              <w:rPr>
                <w:rFonts w:ascii="Verdana" w:hAnsi="Verdana" w:cs="Arial"/>
                <w:sz w:val="20"/>
                <w:szCs w:val="20"/>
              </w:rPr>
              <w:t>2</w:t>
            </w:r>
            <w:r w:rsidR="00C02F3C" w:rsidRPr="00902BE7">
              <w:rPr>
                <w:rFonts w:ascii="Verdana" w:hAnsi="Verdana" w:cs="Arial"/>
                <w:sz w:val="20"/>
                <w:szCs w:val="20"/>
              </w:rPr>
              <w:t xml:space="preserve"> millones</w:t>
            </w:r>
            <w:r w:rsidR="00C02F3C">
              <w:rPr>
                <w:rFonts w:ascii="Verdana" w:hAnsi="Verdana" w:cs="Arial"/>
                <w:sz w:val="20"/>
                <w:szCs w:val="20"/>
              </w:rPr>
              <w:t>,</w:t>
            </w:r>
            <w:r w:rsidR="00C02F3C" w:rsidRPr="0049603A">
              <w:rPr>
                <w:rFonts w:ascii="Verdana" w:hAnsi="Verdana" w:cs="Arial"/>
                <w:sz w:val="20"/>
                <w:szCs w:val="20"/>
              </w:rPr>
              <w:t xml:space="preserve"> se cumplió la meta</w:t>
            </w:r>
            <w:r w:rsidR="00C02F3C">
              <w:rPr>
                <w:rFonts w:ascii="Verdana" w:hAnsi="Verdana" w:cs="Arial"/>
                <w:sz w:val="20"/>
                <w:szCs w:val="20"/>
              </w:rPr>
              <w:t>.</w:t>
            </w:r>
          </w:p>
          <w:p w:rsidR="00C02F3C" w:rsidRDefault="00C02F3C" w:rsidP="00F420E8">
            <w:pPr>
              <w:jc w:val="both"/>
              <w:rPr>
                <w:rFonts w:ascii="Verdana" w:hAnsi="Verdana" w:cs="Arial"/>
                <w:sz w:val="20"/>
                <w:szCs w:val="20"/>
              </w:rPr>
            </w:pPr>
          </w:p>
          <w:p w:rsidR="00873972" w:rsidRPr="00507076" w:rsidRDefault="00A81738" w:rsidP="00664049">
            <w:pPr>
              <w:jc w:val="both"/>
              <w:rPr>
                <w:rFonts w:ascii="Verdana" w:eastAsia="Times New Roman" w:hAnsi="Verdana" w:cs="Times New Roman"/>
                <w:sz w:val="20"/>
                <w:szCs w:val="20"/>
              </w:rPr>
            </w:pPr>
            <w:r w:rsidRPr="00796820">
              <w:rPr>
                <w:rFonts w:ascii="Verdana" w:eastAsia="Times New Roman" w:hAnsi="Verdana" w:cs="Times New Roman"/>
                <w:sz w:val="20"/>
                <w:szCs w:val="20"/>
              </w:rPr>
              <w:t xml:space="preserve">De los compromisos de gastos de personal, el </w:t>
            </w:r>
            <w:r w:rsidR="006D08BF">
              <w:rPr>
                <w:rFonts w:ascii="Verdana" w:eastAsia="Times New Roman" w:hAnsi="Verdana" w:cs="Times New Roman"/>
                <w:sz w:val="20"/>
                <w:szCs w:val="20"/>
              </w:rPr>
              <w:t>6</w:t>
            </w:r>
            <w:r w:rsidR="00F420E8">
              <w:rPr>
                <w:rFonts w:ascii="Verdana" w:eastAsia="Times New Roman" w:hAnsi="Verdana" w:cs="Times New Roman"/>
                <w:sz w:val="20"/>
                <w:szCs w:val="20"/>
              </w:rPr>
              <w:t>7</w:t>
            </w:r>
            <w:r w:rsidR="006D08BF">
              <w:rPr>
                <w:rFonts w:ascii="Verdana" w:eastAsia="Times New Roman" w:hAnsi="Verdana" w:cs="Times New Roman"/>
                <w:sz w:val="20"/>
                <w:szCs w:val="20"/>
              </w:rPr>
              <w:t>,</w:t>
            </w:r>
            <w:r w:rsidR="00664049">
              <w:rPr>
                <w:rFonts w:ascii="Verdana" w:eastAsia="Times New Roman" w:hAnsi="Verdana" w:cs="Times New Roman"/>
                <w:sz w:val="20"/>
                <w:szCs w:val="20"/>
              </w:rPr>
              <w:t>11</w:t>
            </w:r>
            <w:r w:rsidRPr="00796820">
              <w:rPr>
                <w:rFonts w:ascii="Verdana" w:eastAsia="Times New Roman" w:hAnsi="Verdana" w:cs="Times New Roman"/>
                <w:sz w:val="20"/>
                <w:szCs w:val="20"/>
              </w:rPr>
              <w:t xml:space="preserve">% corresponde a gastos asociados </w:t>
            </w:r>
            <w:r w:rsidR="00A07B48" w:rsidRPr="00796820">
              <w:rPr>
                <w:rFonts w:ascii="Verdana" w:eastAsia="Times New Roman" w:hAnsi="Verdana" w:cs="Times New Roman"/>
                <w:sz w:val="20"/>
                <w:szCs w:val="20"/>
              </w:rPr>
              <w:t xml:space="preserve">al salario, el </w:t>
            </w:r>
            <w:r w:rsidR="00C02F3C">
              <w:rPr>
                <w:rFonts w:ascii="Verdana" w:eastAsia="Times New Roman" w:hAnsi="Verdana" w:cs="Times New Roman"/>
                <w:sz w:val="20"/>
                <w:szCs w:val="20"/>
              </w:rPr>
              <w:t>23,</w:t>
            </w:r>
            <w:r w:rsidR="00664049">
              <w:rPr>
                <w:rFonts w:ascii="Verdana" w:eastAsia="Times New Roman" w:hAnsi="Verdana" w:cs="Times New Roman"/>
                <w:sz w:val="20"/>
                <w:szCs w:val="20"/>
              </w:rPr>
              <w:t>19</w:t>
            </w:r>
            <w:r w:rsidR="00A07B48" w:rsidRPr="00796820">
              <w:rPr>
                <w:rFonts w:ascii="Verdana" w:eastAsia="Times New Roman" w:hAnsi="Verdana" w:cs="Times New Roman"/>
                <w:sz w:val="20"/>
                <w:szCs w:val="20"/>
              </w:rPr>
              <w:t xml:space="preserve">% a gastos por contribuciones inherentes a la nómina </w:t>
            </w:r>
            <w:r w:rsidR="006F19B4" w:rsidRPr="00796820">
              <w:rPr>
                <w:rFonts w:ascii="Verdana" w:eastAsia="Times New Roman" w:hAnsi="Verdana" w:cs="Times New Roman"/>
                <w:sz w:val="20"/>
                <w:szCs w:val="20"/>
              </w:rPr>
              <w:t xml:space="preserve">y el </w:t>
            </w:r>
            <w:r w:rsidR="00C02F3C">
              <w:rPr>
                <w:rFonts w:ascii="Verdana" w:eastAsia="Times New Roman" w:hAnsi="Verdana" w:cs="Times New Roman"/>
                <w:sz w:val="20"/>
                <w:szCs w:val="20"/>
              </w:rPr>
              <w:t>9,</w:t>
            </w:r>
            <w:r w:rsidR="00664049">
              <w:rPr>
                <w:rFonts w:ascii="Verdana" w:eastAsia="Times New Roman" w:hAnsi="Verdana" w:cs="Times New Roman"/>
                <w:sz w:val="20"/>
                <w:szCs w:val="20"/>
              </w:rPr>
              <w:t>70</w:t>
            </w:r>
            <w:r w:rsidRPr="00796820">
              <w:rPr>
                <w:rFonts w:ascii="Verdana" w:eastAsia="Times New Roman" w:hAnsi="Verdana" w:cs="Times New Roman"/>
                <w:sz w:val="20"/>
                <w:szCs w:val="20"/>
              </w:rPr>
              <w:t>% restante</w:t>
            </w:r>
            <w:r w:rsidR="00A07B48" w:rsidRPr="00796820">
              <w:rPr>
                <w:rFonts w:ascii="Verdana" w:eastAsia="Times New Roman" w:hAnsi="Verdana" w:cs="Times New Roman"/>
                <w:sz w:val="20"/>
                <w:szCs w:val="20"/>
              </w:rPr>
              <w:t>,</w:t>
            </w:r>
            <w:r w:rsidRPr="00796820">
              <w:rPr>
                <w:rFonts w:ascii="Verdana" w:eastAsia="Times New Roman" w:hAnsi="Verdana" w:cs="Times New Roman"/>
                <w:sz w:val="20"/>
                <w:szCs w:val="20"/>
              </w:rPr>
              <w:t xml:space="preserve"> </w:t>
            </w:r>
            <w:r w:rsidR="00A07B48" w:rsidRPr="00796820">
              <w:rPr>
                <w:rFonts w:ascii="Verdana" w:eastAsia="Times New Roman" w:hAnsi="Verdana" w:cs="Times New Roman"/>
                <w:sz w:val="20"/>
                <w:szCs w:val="20"/>
              </w:rPr>
              <w:t>corresponde</w:t>
            </w:r>
            <w:r w:rsidRPr="00796820">
              <w:rPr>
                <w:rFonts w:ascii="Verdana" w:eastAsia="Times New Roman" w:hAnsi="Verdana" w:cs="Times New Roman"/>
                <w:sz w:val="20"/>
                <w:szCs w:val="20"/>
              </w:rPr>
              <w:t xml:space="preserve"> a </w:t>
            </w:r>
            <w:r w:rsidR="00A07B48" w:rsidRPr="00796820">
              <w:rPr>
                <w:rFonts w:ascii="Verdana" w:eastAsia="Times New Roman" w:hAnsi="Verdana" w:cs="Times New Roman"/>
                <w:sz w:val="20"/>
                <w:szCs w:val="20"/>
              </w:rPr>
              <w:t>remuneraciones no constitutivas de factor salarial.</w:t>
            </w:r>
          </w:p>
        </w:tc>
        <w:tc>
          <w:tcPr>
            <w:tcW w:w="6640" w:type="dxa"/>
            <w:shd w:val="clear" w:color="auto" w:fill="auto"/>
            <w:vAlign w:val="center"/>
          </w:tcPr>
          <w:p w:rsidR="00A81738" w:rsidRPr="007E4852" w:rsidRDefault="00A81738" w:rsidP="00A81738">
            <w:pPr>
              <w:jc w:val="both"/>
              <w:rPr>
                <w:rFonts w:ascii="Verdana" w:eastAsia="Times New Roman" w:hAnsi="Verdana" w:cs="Times New Roman"/>
                <w:sz w:val="20"/>
                <w:szCs w:val="20"/>
              </w:rPr>
            </w:pPr>
            <w:r w:rsidRPr="007E4852">
              <w:rPr>
                <w:rFonts w:ascii="Verdana" w:eastAsia="Times New Roman" w:hAnsi="Verdana" w:cs="Times New Roman"/>
                <w:b/>
                <w:sz w:val="20"/>
                <w:szCs w:val="20"/>
              </w:rPr>
              <w:t>Indicador:</w:t>
            </w:r>
            <w:r w:rsidRPr="007E4852">
              <w:rPr>
                <w:rFonts w:ascii="Verdana" w:eastAsia="Times New Roman" w:hAnsi="Verdana" w:cs="Times New Roman"/>
                <w:sz w:val="20"/>
                <w:szCs w:val="20"/>
              </w:rPr>
              <w:t xml:space="preserve"> Ejecución Obligaciones / Apropiación Vigente.</w:t>
            </w:r>
          </w:p>
          <w:p w:rsidR="00A81738" w:rsidRPr="007E4852" w:rsidRDefault="006F19B4" w:rsidP="00A81738">
            <w:pPr>
              <w:jc w:val="both"/>
              <w:rPr>
                <w:rFonts w:ascii="Verdana" w:eastAsia="Times New Roman" w:hAnsi="Verdana" w:cs="Times New Roman"/>
                <w:sz w:val="20"/>
                <w:szCs w:val="20"/>
              </w:rPr>
            </w:pPr>
            <w:r w:rsidRPr="007E4852">
              <w:rPr>
                <w:rFonts w:ascii="Verdana" w:eastAsia="Times New Roman" w:hAnsi="Verdana" w:cs="Times New Roman"/>
                <w:b/>
                <w:sz w:val="20"/>
                <w:szCs w:val="20"/>
              </w:rPr>
              <w:t>Indicador</w:t>
            </w:r>
            <w:r w:rsidR="002E3D99" w:rsidRPr="007E4852">
              <w:rPr>
                <w:rFonts w:ascii="Verdana" w:eastAsia="Times New Roman" w:hAnsi="Verdana" w:cs="Times New Roman"/>
                <w:b/>
                <w:sz w:val="20"/>
                <w:szCs w:val="20"/>
              </w:rPr>
              <w:t>:</w:t>
            </w:r>
            <w:r w:rsidR="002E3D99" w:rsidRPr="007E4852">
              <w:rPr>
                <w:rFonts w:ascii="Verdana" w:eastAsia="Times New Roman" w:hAnsi="Verdana" w:cs="Times New Roman"/>
                <w:sz w:val="20"/>
                <w:szCs w:val="20"/>
              </w:rPr>
              <w:t xml:space="preserve"> </w:t>
            </w:r>
            <w:r w:rsidR="00F4688A">
              <w:rPr>
                <w:rFonts w:ascii="Verdana" w:eastAsia="Times New Roman" w:hAnsi="Verdana" w:cs="Times New Roman"/>
                <w:sz w:val="20"/>
                <w:szCs w:val="20"/>
              </w:rPr>
              <w:t>5.202,2</w:t>
            </w:r>
            <w:r w:rsidR="002E3D99" w:rsidRPr="008A2AC9">
              <w:rPr>
                <w:rFonts w:ascii="Verdana" w:eastAsia="Times New Roman" w:hAnsi="Verdana" w:cs="Times New Roman"/>
                <w:sz w:val="20"/>
                <w:szCs w:val="20"/>
              </w:rPr>
              <w:t xml:space="preserve"> / 9.548,0 = </w:t>
            </w:r>
            <w:r w:rsidR="00F4688A">
              <w:rPr>
                <w:rFonts w:ascii="Verdana" w:eastAsia="Times New Roman" w:hAnsi="Verdana" w:cs="Times New Roman"/>
                <w:sz w:val="20"/>
                <w:szCs w:val="20"/>
              </w:rPr>
              <w:t>54,48</w:t>
            </w:r>
            <w:r w:rsidR="002E3D99" w:rsidRPr="008A2AC9">
              <w:rPr>
                <w:rFonts w:ascii="Verdana" w:eastAsia="Times New Roman" w:hAnsi="Verdana" w:cs="Times New Roman"/>
                <w:sz w:val="20"/>
                <w:szCs w:val="20"/>
              </w:rPr>
              <w:t>%.</w:t>
            </w:r>
          </w:p>
          <w:p w:rsidR="003C51CF" w:rsidRPr="00FB7BC3" w:rsidRDefault="003C51CF" w:rsidP="00A81738">
            <w:pPr>
              <w:jc w:val="both"/>
              <w:rPr>
                <w:rFonts w:ascii="Verdana" w:eastAsia="Times New Roman" w:hAnsi="Verdana" w:cs="Times New Roman"/>
                <w:sz w:val="20"/>
                <w:szCs w:val="20"/>
              </w:rPr>
            </w:pPr>
          </w:p>
          <w:p w:rsidR="005D48DA" w:rsidRDefault="00A81738" w:rsidP="00E860E4">
            <w:pPr>
              <w:jc w:val="both"/>
              <w:rPr>
                <w:rFonts w:ascii="Verdana" w:hAnsi="Verdana" w:cs="Arial"/>
                <w:sz w:val="20"/>
                <w:szCs w:val="20"/>
                <w:lang w:val="es-CO"/>
              </w:rPr>
            </w:pPr>
            <w:r w:rsidRPr="00FB7BC3">
              <w:rPr>
                <w:rFonts w:ascii="Verdana" w:eastAsia="Times New Roman" w:hAnsi="Verdana" w:cs="Times New Roman"/>
                <w:sz w:val="20"/>
                <w:szCs w:val="20"/>
              </w:rPr>
              <w:t xml:space="preserve">Se </w:t>
            </w:r>
            <w:r w:rsidR="00B36B6E" w:rsidRPr="00FB7BC3">
              <w:rPr>
                <w:rFonts w:ascii="Verdana" w:eastAsia="Times New Roman" w:hAnsi="Verdana" w:cs="Times New Roman"/>
                <w:sz w:val="20"/>
                <w:szCs w:val="20"/>
              </w:rPr>
              <w:t>ejecutaron</w:t>
            </w:r>
            <w:r w:rsidRPr="00FB7BC3">
              <w:rPr>
                <w:rFonts w:ascii="Verdana" w:eastAsia="Times New Roman" w:hAnsi="Verdana" w:cs="Times New Roman"/>
                <w:sz w:val="20"/>
                <w:szCs w:val="20"/>
              </w:rPr>
              <w:t xml:space="preserve"> recursos por valor de </w:t>
            </w:r>
            <w:r w:rsidR="00F4688A">
              <w:rPr>
                <w:rFonts w:ascii="Verdana" w:eastAsia="Times New Roman" w:hAnsi="Verdana" w:cs="Times New Roman"/>
                <w:sz w:val="20"/>
                <w:szCs w:val="20"/>
              </w:rPr>
              <w:t>5.202,2</w:t>
            </w:r>
            <w:r w:rsidR="002E3D99" w:rsidRPr="008A2AC9">
              <w:rPr>
                <w:rFonts w:ascii="Verdana" w:eastAsia="Times New Roman" w:hAnsi="Verdana" w:cs="Times New Roman"/>
                <w:sz w:val="20"/>
                <w:szCs w:val="20"/>
              </w:rPr>
              <w:t xml:space="preserve"> </w:t>
            </w:r>
            <w:r w:rsidR="006F19B4" w:rsidRPr="00FB7BC3">
              <w:rPr>
                <w:rFonts w:ascii="Verdana" w:eastAsia="Times New Roman" w:hAnsi="Verdana" w:cs="Times New Roman"/>
                <w:sz w:val="20"/>
                <w:szCs w:val="20"/>
              </w:rPr>
              <w:t xml:space="preserve">millones equivalentes al </w:t>
            </w:r>
            <w:r w:rsidR="00F4688A">
              <w:rPr>
                <w:rFonts w:ascii="Verdana" w:eastAsia="Times New Roman" w:hAnsi="Verdana" w:cs="Times New Roman"/>
                <w:sz w:val="20"/>
                <w:szCs w:val="20"/>
              </w:rPr>
              <w:t>54,48</w:t>
            </w:r>
            <w:r w:rsidR="00204C8E">
              <w:rPr>
                <w:rFonts w:ascii="Verdana" w:eastAsia="Times New Roman" w:hAnsi="Verdana" w:cs="Times New Roman"/>
                <w:sz w:val="20"/>
                <w:szCs w:val="20"/>
              </w:rPr>
              <w:t xml:space="preserve"> </w:t>
            </w:r>
            <w:r w:rsidRPr="00FB7BC3">
              <w:rPr>
                <w:rFonts w:ascii="Verdana" w:eastAsia="Times New Roman" w:hAnsi="Verdana" w:cs="Times New Roman"/>
                <w:sz w:val="20"/>
                <w:szCs w:val="20"/>
              </w:rPr>
              <w:t xml:space="preserve">% de la </w:t>
            </w:r>
            <w:r w:rsidR="006F19B4" w:rsidRPr="00FB7BC3">
              <w:rPr>
                <w:rFonts w:ascii="Verdana" w:eastAsia="Times New Roman" w:hAnsi="Verdana" w:cs="Times New Roman"/>
                <w:sz w:val="20"/>
                <w:szCs w:val="20"/>
              </w:rPr>
              <w:t>apropiación</w:t>
            </w:r>
            <w:r w:rsidR="00FB7BC3" w:rsidRPr="00FB7BC3">
              <w:rPr>
                <w:rFonts w:ascii="Verdana" w:eastAsia="Times New Roman" w:hAnsi="Verdana" w:cs="Times New Roman"/>
                <w:sz w:val="20"/>
                <w:szCs w:val="20"/>
              </w:rPr>
              <w:t xml:space="preserve"> vigente</w:t>
            </w:r>
            <w:r w:rsidR="006F19B4" w:rsidRPr="00FB7BC3">
              <w:rPr>
                <w:rFonts w:ascii="Verdana" w:eastAsia="Times New Roman" w:hAnsi="Verdana" w:cs="Times New Roman"/>
                <w:sz w:val="20"/>
                <w:szCs w:val="20"/>
              </w:rPr>
              <w:t xml:space="preserve">, de una meta del </w:t>
            </w:r>
            <w:r w:rsidR="00F4688A">
              <w:rPr>
                <w:rFonts w:ascii="Verdana" w:eastAsia="Times New Roman" w:hAnsi="Verdana" w:cs="Times New Roman"/>
                <w:sz w:val="20"/>
                <w:szCs w:val="20"/>
              </w:rPr>
              <w:t>53</w:t>
            </w:r>
            <w:r w:rsidR="002E3D99">
              <w:rPr>
                <w:rFonts w:ascii="Verdana" w:eastAsia="Times New Roman" w:hAnsi="Verdana" w:cs="Times New Roman"/>
                <w:sz w:val="20"/>
                <w:szCs w:val="20"/>
              </w:rPr>
              <w:t>,</w:t>
            </w:r>
            <w:r w:rsidR="00F4688A">
              <w:rPr>
                <w:rFonts w:ascii="Verdana" w:eastAsia="Times New Roman" w:hAnsi="Verdana" w:cs="Times New Roman"/>
                <w:sz w:val="20"/>
                <w:szCs w:val="20"/>
              </w:rPr>
              <w:t>55</w:t>
            </w:r>
            <w:r w:rsidR="003C51CF" w:rsidRPr="00FB7BC3">
              <w:rPr>
                <w:rFonts w:ascii="Verdana" w:eastAsia="Times New Roman" w:hAnsi="Verdana" w:cs="Times New Roman"/>
                <w:sz w:val="20"/>
                <w:szCs w:val="20"/>
              </w:rPr>
              <w:t>%</w:t>
            </w:r>
            <w:r w:rsidRPr="00FB7BC3">
              <w:rPr>
                <w:rFonts w:ascii="Verdana" w:eastAsia="Times New Roman" w:hAnsi="Verdana" w:cs="Times New Roman"/>
                <w:sz w:val="20"/>
                <w:szCs w:val="20"/>
              </w:rPr>
              <w:t>,</w:t>
            </w:r>
            <w:r w:rsidR="003C51CF" w:rsidRPr="00FB7BC3">
              <w:rPr>
                <w:rFonts w:ascii="Verdana" w:eastAsia="Times New Roman" w:hAnsi="Verdana" w:cs="Times New Roman"/>
                <w:sz w:val="20"/>
                <w:szCs w:val="20"/>
              </w:rPr>
              <w:t xml:space="preserve"> </w:t>
            </w:r>
            <w:r w:rsidR="002360E0" w:rsidRPr="00C55089">
              <w:rPr>
                <w:rFonts w:ascii="Verdana" w:hAnsi="Verdana" w:cs="Arial"/>
                <w:sz w:val="20"/>
                <w:szCs w:val="20"/>
                <w:lang w:val="es-CO"/>
              </w:rPr>
              <w:t xml:space="preserve">Superávit  en la ejecución de gastos de personal por </w:t>
            </w:r>
            <w:r w:rsidR="00F4688A">
              <w:rPr>
                <w:rFonts w:ascii="Verdana" w:hAnsi="Verdana" w:cs="Arial"/>
                <w:sz w:val="20"/>
                <w:szCs w:val="20"/>
                <w:lang w:val="es-CO"/>
              </w:rPr>
              <w:t>88,9</w:t>
            </w:r>
            <w:r w:rsidR="002360E0" w:rsidRPr="00C55089">
              <w:rPr>
                <w:rFonts w:ascii="Verdana" w:hAnsi="Verdana" w:cs="Arial"/>
                <w:sz w:val="20"/>
                <w:szCs w:val="20"/>
                <w:lang w:val="es-CO"/>
              </w:rPr>
              <w:t xml:space="preserve"> millones, se cumplió la meta.</w:t>
            </w:r>
          </w:p>
          <w:p w:rsidR="002360E0" w:rsidRDefault="002360E0" w:rsidP="00E860E4">
            <w:pPr>
              <w:jc w:val="both"/>
              <w:rPr>
                <w:rFonts w:ascii="Verdana" w:eastAsia="Times New Roman" w:hAnsi="Verdana" w:cs="Times New Roman"/>
                <w:sz w:val="20"/>
                <w:szCs w:val="20"/>
              </w:rPr>
            </w:pPr>
          </w:p>
          <w:p w:rsidR="00873972" w:rsidRPr="00561786" w:rsidRDefault="00A81738" w:rsidP="00E860E4">
            <w:pPr>
              <w:jc w:val="both"/>
              <w:rPr>
                <w:rFonts w:ascii="Verdana" w:eastAsia="Times New Roman" w:hAnsi="Verdana" w:cs="Times New Roman"/>
                <w:sz w:val="20"/>
                <w:szCs w:val="20"/>
              </w:rPr>
            </w:pPr>
            <w:r w:rsidRPr="00561786">
              <w:rPr>
                <w:rFonts w:ascii="Verdana" w:eastAsia="Times New Roman" w:hAnsi="Verdana" w:cs="Times New Roman"/>
                <w:sz w:val="20"/>
                <w:szCs w:val="20"/>
              </w:rPr>
              <w:t>De las obli</w:t>
            </w:r>
            <w:r w:rsidR="003C51CF" w:rsidRPr="00561786">
              <w:rPr>
                <w:rFonts w:ascii="Verdana" w:eastAsia="Times New Roman" w:hAnsi="Verdana" w:cs="Times New Roman"/>
                <w:sz w:val="20"/>
                <w:szCs w:val="20"/>
              </w:rPr>
              <w:t xml:space="preserve">gaciones de gastos de personal, el </w:t>
            </w:r>
            <w:r w:rsidR="002360E0">
              <w:rPr>
                <w:rFonts w:ascii="Verdana" w:eastAsia="Times New Roman" w:hAnsi="Verdana" w:cs="Times New Roman"/>
                <w:sz w:val="20"/>
                <w:szCs w:val="20"/>
              </w:rPr>
              <w:t>67,</w:t>
            </w:r>
            <w:r w:rsidR="00F4688A">
              <w:rPr>
                <w:rFonts w:ascii="Verdana" w:eastAsia="Times New Roman" w:hAnsi="Verdana" w:cs="Times New Roman"/>
                <w:sz w:val="20"/>
                <w:szCs w:val="20"/>
              </w:rPr>
              <w:t>12</w:t>
            </w:r>
            <w:r w:rsidR="002E3D99" w:rsidRPr="00796820">
              <w:rPr>
                <w:rFonts w:ascii="Verdana" w:eastAsia="Times New Roman" w:hAnsi="Verdana" w:cs="Times New Roman"/>
                <w:sz w:val="20"/>
                <w:szCs w:val="20"/>
              </w:rPr>
              <w:t xml:space="preserve">% </w:t>
            </w:r>
            <w:r w:rsidR="003C51CF" w:rsidRPr="00561786">
              <w:rPr>
                <w:rFonts w:ascii="Verdana" w:eastAsia="Times New Roman" w:hAnsi="Verdana" w:cs="Times New Roman"/>
                <w:sz w:val="20"/>
                <w:szCs w:val="20"/>
              </w:rPr>
              <w:t xml:space="preserve">corresponde a gastos asociados al salario, el </w:t>
            </w:r>
            <w:r w:rsidR="002360E0">
              <w:rPr>
                <w:rFonts w:ascii="Verdana" w:eastAsia="Times New Roman" w:hAnsi="Verdana" w:cs="Times New Roman"/>
                <w:sz w:val="20"/>
                <w:szCs w:val="20"/>
              </w:rPr>
              <w:t>23,</w:t>
            </w:r>
            <w:r w:rsidR="00F4688A">
              <w:rPr>
                <w:rFonts w:ascii="Verdana" w:eastAsia="Times New Roman" w:hAnsi="Verdana" w:cs="Times New Roman"/>
                <w:sz w:val="20"/>
                <w:szCs w:val="20"/>
              </w:rPr>
              <w:t>19</w:t>
            </w:r>
            <w:r w:rsidR="002E3D99" w:rsidRPr="00796820">
              <w:rPr>
                <w:rFonts w:ascii="Verdana" w:eastAsia="Times New Roman" w:hAnsi="Verdana" w:cs="Times New Roman"/>
                <w:sz w:val="20"/>
                <w:szCs w:val="20"/>
              </w:rPr>
              <w:t xml:space="preserve">% </w:t>
            </w:r>
            <w:r w:rsidR="003C51CF" w:rsidRPr="00561786">
              <w:rPr>
                <w:rFonts w:ascii="Verdana" w:eastAsia="Times New Roman" w:hAnsi="Verdana" w:cs="Times New Roman"/>
                <w:sz w:val="20"/>
                <w:szCs w:val="20"/>
              </w:rPr>
              <w:t>a gastos por contribucion</w:t>
            </w:r>
            <w:r w:rsidR="00561786" w:rsidRPr="00561786">
              <w:rPr>
                <w:rFonts w:ascii="Verdana" w:eastAsia="Times New Roman" w:hAnsi="Verdana" w:cs="Times New Roman"/>
                <w:sz w:val="20"/>
                <w:szCs w:val="20"/>
              </w:rPr>
              <w:t xml:space="preserve">es inherentes a la nómina y el </w:t>
            </w:r>
            <w:r w:rsidR="00F4688A">
              <w:rPr>
                <w:rFonts w:ascii="Verdana" w:eastAsia="Times New Roman" w:hAnsi="Verdana" w:cs="Times New Roman"/>
                <w:sz w:val="20"/>
                <w:szCs w:val="20"/>
              </w:rPr>
              <w:t>9,69</w:t>
            </w:r>
            <w:r w:rsidR="002E3D99" w:rsidRPr="00796820">
              <w:rPr>
                <w:rFonts w:ascii="Verdana" w:eastAsia="Times New Roman" w:hAnsi="Verdana" w:cs="Times New Roman"/>
                <w:sz w:val="20"/>
                <w:szCs w:val="20"/>
              </w:rPr>
              <w:t xml:space="preserve">% </w:t>
            </w:r>
            <w:r w:rsidR="003C51CF" w:rsidRPr="00561786">
              <w:rPr>
                <w:rFonts w:ascii="Verdana" w:eastAsia="Times New Roman" w:hAnsi="Verdana" w:cs="Times New Roman"/>
                <w:sz w:val="20"/>
                <w:szCs w:val="20"/>
              </w:rPr>
              <w:t xml:space="preserve"> restante, corresponde a remuneraciones no constitutivas de factor salarial.</w:t>
            </w:r>
          </w:p>
          <w:p w:rsidR="00123DEA" w:rsidRPr="003A4A1F" w:rsidRDefault="00123DEA" w:rsidP="00E860E4">
            <w:pPr>
              <w:jc w:val="both"/>
              <w:rPr>
                <w:rFonts w:ascii="Verdana" w:hAnsi="Verdana"/>
                <w:sz w:val="20"/>
                <w:szCs w:val="20"/>
                <w:highlight w:val="yellow"/>
              </w:rPr>
            </w:pPr>
          </w:p>
        </w:tc>
      </w:tr>
    </w:tbl>
    <w:p w:rsidR="007E4852" w:rsidRDefault="007E4852" w:rsidP="00B41CB3">
      <w:pPr>
        <w:rPr>
          <w:rFonts w:ascii="Verdana" w:hAnsi="Verdana"/>
          <w:b/>
          <w:sz w:val="22"/>
          <w:szCs w:val="20"/>
          <w:highlight w:val="yellow"/>
        </w:rPr>
      </w:pPr>
    </w:p>
    <w:p w:rsidR="00873972" w:rsidRDefault="006D7E6A" w:rsidP="00B41CB3">
      <w:pPr>
        <w:rPr>
          <w:rFonts w:ascii="Verdana" w:hAnsi="Verdana"/>
          <w:b/>
          <w:sz w:val="22"/>
          <w:szCs w:val="20"/>
        </w:rPr>
      </w:pPr>
      <w:r w:rsidRPr="00ED1308">
        <w:rPr>
          <w:rFonts w:ascii="Verdana" w:hAnsi="Verdana"/>
          <w:b/>
          <w:sz w:val="22"/>
          <w:szCs w:val="20"/>
        </w:rPr>
        <w:t>Adquisición de Bienes y Servicios</w:t>
      </w:r>
    </w:p>
    <w:p w:rsidR="003E138E" w:rsidRPr="00D62888" w:rsidRDefault="003E138E" w:rsidP="00B41CB3">
      <w:pPr>
        <w:rPr>
          <w:rFonts w:ascii="Verdana" w:hAnsi="Verdana"/>
          <w:b/>
          <w:sz w:val="22"/>
          <w:szCs w:val="20"/>
        </w:rPr>
      </w:pPr>
    </w:p>
    <w:tbl>
      <w:tblPr>
        <w:tblStyle w:val="Tablaconcuadrcula"/>
        <w:tblW w:w="0" w:type="auto"/>
        <w:tblLook w:val="04A0" w:firstRow="1" w:lastRow="0" w:firstColumn="1" w:lastColumn="0" w:noHBand="0" w:noVBand="1"/>
      </w:tblPr>
      <w:tblGrid>
        <w:gridCol w:w="6638"/>
        <w:gridCol w:w="6640"/>
      </w:tblGrid>
      <w:tr w:rsidR="003F2322" w:rsidRPr="003A4A1F" w:rsidTr="003F2322">
        <w:tc>
          <w:tcPr>
            <w:tcW w:w="6638" w:type="dxa"/>
          </w:tcPr>
          <w:p w:rsidR="003F2322" w:rsidRPr="00D62888" w:rsidRDefault="003F2322" w:rsidP="00B41CB3">
            <w:pPr>
              <w:jc w:val="center"/>
              <w:rPr>
                <w:rFonts w:ascii="Verdana" w:hAnsi="Verdana"/>
                <w:b/>
                <w:sz w:val="22"/>
                <w:szCs w:val="20"/>
              </w:rPr>
            </w:pPr>
            <w:r w:rsidRPr="00D62888">
              <w:rPr>
                <w:rFonts w:ascii="Verdana" w:hAnsi="Verdana"/>
                <w:b/>
                <w:sz w:val="22"/>
                <w:szCs w:val="20"/>
              </w:rPr>
              <w:t>Compromisos</w:t>
            </w:r>
          </w:p>
        </w:tc>
        <w:tc>
          <w:tcPr>
            <w:tcW w:w="6640" w:type="dxa"/>
          </w:tcPr>
          <w:p w:rsidR="003F2322" w:rsidRPr="00D62888" w:rsidRDefault="003F2322" w:rsidP="00B41CB3">
            <w:pPr>
              <w:jc w:val="center"/>
              <w:rPr>
                <w:rFonts w:ascii="Verdana" w:hAnsi="Verdana"/>
                <w:b/>
                <w:sz w:val="22"/>
                <w:szCs w:val="20"/>
              </w:rPr>
            </w:pPr>
            <w:r w:rsidRPr="00EF2827">
              <w:rPr>
                <w:rFonts w:ascii="Verdana" w:hAnsi="Verdana"/>
                <w:b/>
                <w:sz w:val="22"/>
                <w:szCs w:val="20"/>
              </w:rPr>
              <w:t>Obligaciones</w:t>
            </w:r>
          </w:p>
        </w:tc>
      </w:tr>
      <w:tr w:rsidR="00873972" w:rsidRPr="003A4A1F" w:rsidTr="003F2322">
        <w:tc>
          <w:tcPr>
            <w:tcW w:w="6638" w:type="dxa"/>
          </w:tcPr>
          <w:p w:rsidR="003A3C1F" w:rsidRPr="00F51D3F" w:rsidRDefault="003A3C1F" w:rsidP="003A3C1F">
            <w:pPr>
              <w:jc w:val="both"/>
              <w:rPr>
                <w:rFonts w:ascii="Verdana" w:hAnsi="Verdana"/>
                <w:sz w:val="20"/>
                <w:szCs w:val="20"/>
              </w:rPr>
            </w:pPr>
            <w:r w:rsidRPr="00F51D3F">
              <w:rPr>
                <w:rFonts w:ascii="Verdana" w:hAnsi="Verdana"/>
                <w:b/>
                <w:sz w:val="20"/>
                <w:szCs w:val="20"/>
              </w:rPr>
              <w:t>Indicador:</w:t>
            </w:r>
            <w:r w:rsidRPr="00F51D3F">
              <w:rPr>
                <w:rFonts w:ascii="Verdana" w:hAnsi="Verdana"/>
                <w:sz w:val="20"/>
                <w:szCs w:val="20"/>
              </w:rPr>
              <w:t xml:space="preserve"> Ejecución Compromisos / Apropiación Vigente.</w:t>
            </w:r>
          </w:p>
          <w:p w:rsidR="003A3C1F" w:rsidRPr="00F51D3F" w:rsidRDefault="003A3C1F" w:rsidP="003A3C1F">
            <w:pPr>
              <w:jc w:val="both"/>
              <w:rPr>
                <w:rFonts w:ascii="Verdana" w:hAnsi="Verdana"/>
                <w:sz w:val="20"/>
                <w:szCs w:val="20"/>
              </w:rPr>
            </w:pPr>
            <w:r w:rsidRPr="00F51D3F">
              <w:rPr>
                <w:rFonts w:ascii="Verdana" w:hAnsi="Verdana"/>
                <w:b/>
                <w:sz w:val="20"/>
                <w:szCs w:val="20"/>
              </w:rPr>
              <w:t>Indicador:</w:t>
            </w:r>
            <w:r w:rsidR="00F51D3F">
              <w:rPr>
                <w:rFonts w:ascii="Verdana" w:hAnsi="Verdana"/>
                <w:sz w:val="20"/>
                <w:szCs w:val="20"/>
              </w:rPr>
              <w:t xml:space="preserve"> </w:t>
            </w:r>
            <w:r w:rsidR="00DE76AB">
              <w:rPr>
                <w:rFonts w:ascii="Verdana" w:hAnsi="Verdana"/>
                <w:sz w:val="20"/>
                <w:szCs w:val="20"/>
              </w:rPr>
              <w:t>3.024,3</w:t>
            </w:r>
            <w:r w:rsidR="00A97E91">
              <w:rPr>
                <w:rFonts w:ascii="Verdana" w:hAnsi="Verdana"/>
                <w:sz w:val="20"/>
                <w:szCs w:val="20"/>
              </w:rPr>
              <w:t xml:space="preserve"> </w:t>
            </w:r>
            <w:r w:rsidR="00B378AF" w:rsidRPr="00F51D3F">
              <w:rPr>
                <w:rFonts w:ascii="Verdana" w:hAnsi="Verdana"/>
                <w:sz w:val="20"/>
                <w:szCs w:val="20"/>
              </w:rPr>
              <w:t xml:space="preserve">/ </w:t>
            </w:r>
            <w:r w:rsidR="006D7E6A" w:rsidRPr="00F51D3F">
              <w:rPr>
                <w:rFonts w:ascii="Verdana" w:hAnsi="Verdana"/>
                <w:sz w:val="20"/>
                <w:szCs w:val="20"/>
              </w:rPr>
              <w:t xml:space="preserve">3.824,0 </w:t>
            </w:r>
            <w:r w:rsidRPr="00F51D3F">
              <w:rPr>
                <w:rFonts w:ascii="Verdana" w:hAnsi="Verdana"/>
                <w:sz w:val="20"/>
                <w:szCs w:val="20"/>
              </w:rPr>
              <w:t xml:space="preserve">= </w:t>
            </w:r>
            <w:r w:rsidR="00DE76AB">
              <w:rPr>
                <w:rFonts w:ascii="Verdana" w:hAnsi="Verdana"/>
                <w:sz w:val="20"/>
                <w:szCs w:val="20"/>
              </w:rPr>
              <w:t>79</w:t>
            </w:r>
            <w:r w:rsidR="002F6AA6">
              <w:rPr>
                <w:rFonts w:ascii="Verdana" w:hAnsi="Verdana"/>
                <w:sz w:val="20"/>
                <w:szCs w:val="20"/>
              </w:rPr>
              <w:t>,</w:t>
            </w:r>
            <w:r w:rsidR="00DE76AB">
              <w:rPr>
                <w:rFonts w:ascii="Verdana" w:hAnsi="Verdana"/>
                <w:sz w:val="20"/>
                <w:szCs w:val="20"/>
              </w:rPr>
              <w:t>09</w:t>
            </w:r>
            <w:r w:rsidRPr="00F51D3F">
              <w:rPr>
                <w:rFonts w:ascii="Verdana" w:hAnsi="Verdana"/>
                <w:sz w:val="20"/>
                <w:szCs w:val="20"/>
              </w:rPr>
              <w:t>%.</w:t>
            </w:r>
          </w:p>
          <w:p w:rsidR="003A3C1F" w:rsidRPr="003A4A1F" w:rsidRDefault="003A3C1F" w:rsidP="003A3C1F">
            <w:pPr>
              <w:jc w:val="both"/>
              <w:rPr>
                <w:rFonts w:ascii="Verdana" w:hAnsi="Verdana"/>
                <w:sz w:val="20"/>
                <w:szCs w:val="20"/>
                <w:highlight w:val="yellow"/>
              </w:rPr>
            </w:pPr>
          </w:p>
          <w:p w:rsidR="00F807E3" w:rsidRDefault="003A3C1F" w:rsidP="00A36F0E">
            <w:pPr>
              <w:jc w:val="both"/>
              <w:rPr>
                <w:rFonts w:ascii="Verdana" w:hAnsi="Verdana" w:cs="Arial"/>
                <w:sz w:val="20"/>
                <w:szCs w:val="20"/>
              </w:rPr>
            </w:pPr>
            <w:r w:rsidRPr="00A97E91">
              <w:rPr>
                <w:rFonts w:ascii="Verdana" w:hAnsi="Verdana"/>
                <w:sz w:val="20"/>
                <w:szCs w:val="20"/>
              </w:rPr>
              <w:t xml:space="preserve">La ejecución de los gastos </w:t>
            </w:r>
            <w:r w:rsidR="00CE0F85" w:rsidRPr="00A97E91">
              <w:rPr>
                <w:rFonts w:ascii="Verdana" w:hAnsi="Verdana"/>
                <w:sz w:val="20"/>
                <w:szCs w:val="20"/>
              </w:rPr>
              <w:t>por adquisición de bienes y servicios</w:t>
            </w:r>
            <w:r w:rsidRPr="00A97E91">
              <w:rPr>
                <w:rFonts w:ascii="Verdana" w:hAnsi="Verdana"/>
                <w:sz w:val="20"/>
                <w:szCs w:val="20"/>
              </w:rPr>
              <w:t xml:space="preserve"> </w:t>
            </w:r>
            <w:r w:rsidR="00F86597" w:rsidRPr="00A97E91">
              <w:rPr>
                <w:rFonts w:ascii="Verdana" w:hAnsi="Verdana"/>
                <w:sz w:val="20"/>
                <w:szCs w:val="20"/>
              </w:rPr>
              <w:t>fue</w:t>
            </w:r>
            <w:r w:rsidRPr="00A97E91">
              <w:rPr>
                <w:rFonts w:ascii="Verdana" w:hAnsi="Verdana"/>
                <w:sz w:val="20"/>
                <w:szCs w:val="20"/>
              </w:rPr>
              <w:t xml:space="preserve"> </w:t>
            </w:r>
            <w:r w:rsidR="00F86597" w:rsidRPr="00A97E91">
              <w:rPr>
                <w:rFonts w:ascii="Verdana" w:hAnsi="Verdana"/>
                <w:sz w:val="20"/>
                <w:szCs w:val="20"/>
              </w:rPr>
              <w:t>d</w:t>
            </w:r>
            <w:r w:rsidRPr="00A97E91">
              <w:rPr>
                <w:rFonts w:ascii="Verdana" w:hAnsi="Verdana"/>
                <w:sz w:val="20"/>
                <w:szCs w:val="20"/>
              </w:rPr>
              <w:t xml:space="preserve">el </w:t>
            </w:r>
            <w:r w:rsidR="00B33EB0">
              <w:rPr>
                <w:rFonts w:ascii="Verdana" w:hAnsi="Verdana"/>
                <w:sz w:val="20"/>
                <w:szCs w:val="20"/>
              </w:rPr>
              <w:t>79,09</w:t>
            </w:r>
            <w:r w:rsidR="00A36F0E">
              <w:rPr>
                <w:rFonts w:ascii="Verdana" w:hAnsi="Verdana"/>
                <w:sz w:val="20"/>
                <w:szCs w:val="20"/>
              </w:rPr>
              <w:t xml:space="preserve">% </w:t>
            </w:r>
            <w:r w:rsidR="00CE0F85" w:rsidRPr="00A97E91">
              <w:rPr>
                <w:rFonts w:ascii="Verdana" w:hAnsi="Verdana"/>
                <w:sz w:val="20"/>
                <w:szCs w:val="20"/>
              </w:rPr>
              <w:t>con respecto a la</w:t>
            </w:r>
            <w:r w:rsidRPr="00A97E91">
              <w:rPr>
                <w:rFonts w:ascii="Verdana" w:hAnsi="Verdana"/>
                <w:sz w:val="20"/>
                <w:szCs w:val="20"/>
              </w:rPr>
              <w:t xml:space="preserve"> apropi</w:t>
            </w:r>
            <w:r w:rsidR="00DC6094" w:rsidRPr="00A97E91">
              <w:rPr>
                <w:rFonts w:ascii="Verdana" w:hAnsi="Verdana"/>
                <w:sz w:val="20"/>
                <w:szCs w:val="20"/>
              </w:rPr>
              <w:t>ación</w:t>
            </w:r>
            <w:r w:rsidR="00CE0F85" w:rsidRPr="00A97E91">
              <w:rPr>
                <w:rFonts w:ascii="Verdana" w:hAnsi="Verdana"/>
                <w:sz w:val="20"/>
                <w:szCs w:val="20"/>
              </w:rPr>
              <w:t>,</w:t>
            </w:r>
            <w:r w:rsidR="00DC6094" w:rsidRPr="00A97E91">
              <w:rPr>
                <w:rFonts w:ascii="Verdana" w:hAnsi="Verdana"/>
                <w:sz w:val="20"/>
                <w:szCs w:val="20"/>
              </w:rPr>
              <w:t xml:space="preserve"> frente a una meta del </w:t>
            </w:r>
            <w:r w:rsidR="00B33EB0">
              <w:rPr>
                <w:rFonts w:ascii="Verdana" w:hAnsi="Verdana"/>
                <w:sz w:val="20"/>
                <w:szCs w:val="20"/>
              </w:rPr>
              <w:t>73,06</w:t>
            </w:r>
            <w:r w:rsidRPr="00A97E91">
              <w:rPr>
                <w:rFonts w:ascii="Verdana" w:hAnsi="Verdana"/>
                <w:sz w:val="20"/>
                <w:szCs w:val="20"/>
              </w:rPr>
              <w:t>%</w:t>
            </w:r>
            <w:r w:rsidR="00BA14D5">
              <w:rPr>
                <w:rFonts w:ascii="Verdana" w:hAnsi="Verdana"/>
                <w:sz w:val="20"/>
                <w:szCs w:val="20"/>
              </w:rPr>
              <w:t xml:space="preserve">, presentando </w:t>
            </w:r>
            <w:r w:rsidR="002F6AA6">
              <w:rPr>
                <w:rFonts w:ascii="Verdana" w:hAnsi="Verdana" w:cs="Arial"/>
                <w:sz w:val="20"/>
                <w:szCs w:val="20"/>
              </w:rPr>
              <w:t xml:space="preserve">superávit </w:t>
            </w:r>
            <w:r w:rsidR="002F6AA6" w:rsidRPr="00902BE7">
              <w:rPr>
                <w:rFonts w:ascii="Verdana" w:hAnsi="Verdana" w:cs="Arial"/>
                <w:sz w:val="20"/>
                <w:szCs w:val="20"/>
              </w:rPr>
              <w:t xml:space="preserve">en adquisición de bienes y </w:t>
            </w:r>
            <w:r w:rsidR="002F6AA6" w:rsidRPr="00902BE7">
              <w:rPr>
                <w:rFonts w:ascii="Verdana" w:hAnsi="Verdana" w:cs="Arial"/>
                <w:sz w:val="20"/>
                <w:szCs w:val="20"/>
              </w:rPr>
              <w:lastRenderedPageBreak/>
              <w:t xml:space="preserve">servicios por </w:t>
            </w:r>
            <w:r w:rsidR="00B33EB0">
              <w:rPr>
                <w:rFonts w:ascii="Verdana" w:hAnsi="Verdana" w:cs="Arial"/>
                <w:sz w:val="20"/>
                <w:szCs w:val="20"/>
              </w:rPr>
              <w:t>230</w:t>
            </w:r>
            <w:r w:rsidR="002F6AA6">
              <w:rPr>
                <w:rFonts w:ascii="Verdana" w:hAnsi="Verdana" w:cs="Arial"/>
                <w:sz w:val="20"/>
                <w:szCs w:val="20"/>
              </w:rPr>
              <w:t>,</w:t>
            </w:r>
            <w:r w:rsidR="00B33EB0">
              <w:rPr>
                <w:rFonts w:ascii="Verdana" w:hAnsi="Verdana" w:cs="Arial"/>
                <w:sz w:val="20"/>
                <w:szCs w:val="20"/>
              </w:rPr>
              <w:t>4</w:t>
            </w:r>
            <w:r w:rsidR="002F6AA6" w:rsidRPr="00902BE7">
              <w:rPr>
                <w:rFonts w:ascii="Verdana" w:hAnsi="Verdana" w:cs="Arial"/>
                <w:sz w:val="20"/>
                <w:szCs w:val="20"/>
              </w:rPr>
              <w:t xml:space="preserve"> millones,</w:t>
            </w:r>
            <w:r w:rsidR="00B33EB0">
              <w:rPr>
                <w:rFonts w:ascii="Verdana" w:hAnsi="Verdana" w:cs="Arial"/>
                <w:sz w:val="20"/>
                <w:szCs w:val="20"/>
              </w:rPr>
              <w:t xml:space="preserve"> se cumplió la meta, debido que este mes se realizó el contrato con Berlintz para la p</w:t>
            </w:r>
            <w:r w:rsidR="00B33EB0" w:rsidRPr="00A41E2D">
              <w:rPr>
                <w:rFonts w:ascii="Verdana" w:hAnsi="Verdana" w:cs="Arial"/>
                <w:sz w:val="20"/>
                <w:szCs w:val="20"/>
              </w:rPr>
              <w:t>restación de servicios profesionales para desarrollar capacitación en idiomas como inglés, francés, alemán e italiano para los servidores</w:t>
            </w:r>
            <w:r w:rsidR="00B33EB0">
              <w:rPr>
                <w:rFonts w:ascii="Verdana" w:hAnsi="Verdana" w:cs="Arial"/>
                <w:sz w:val="20"/>
                <w:szCs w:val="20"/>
              </w:rPr>
              <w:t>, se adquirieron los repuestos y los tóner para las impresoras y computadores de la entidad</w:t>
            </w:r>
          </w:p>
          <w:p w:rsidR="00F807E3" w:rsidRDefault="00F807E3" w:rsidP="00A36F0E">
            <w:pPr>
              <w:jc w:val="both"/>
              <w:rPr>
                <w:rFonts w:ascii="Verdana" w:hAnsi="Verdana" w:cs="Arial"/>
                <w:sz w:val="20"/>
                <w:szCs w:val="20"/>
              </w:rPr>
            </w:pPr>
          </w:p>
          <w:p w:rsidR="00A36F0E" w:rsidRPr="00A36F0E" w:rsidRDefault="003A3C1F" w:rsidP="00A36F0E">
            <w:pPr>
              <w:jc w:val="both"/>
              <w:rPr>
                <w:rFonts w:ascii="Verdana" w:hAnsi="Verdana"/>
                <w:sz w:val="20"/>
                <w:szCs w:val="20"/>
              </w:rPr>
            </w:pPr>
            <w:r w:rsidRPr="00A97E91">
              <w:rPr>
                <w:rFonts w:ascii="Verdana" w:hAnsi="Verdana"/>
                <w:sz w:val="20"/>
                <w:szCs w:val="20"/>
              </w:rPr>
              <w:t xml:space="preserve">Con corte a </w:t>
            </w:r>
            <w:r w:rsidR="00D16380">
              <w:rPr>
                <w:rFonts w:ascii="Verdana" w:hAnsi="Verdana"/>
                <w:sz w:val="20"/>
                <w:szCs w:val="20"/>
              </w:rPr>
              <w:t xml:space="preserve">31 de agosto </w:t>
            </w:r>
            <w:r w:rsidR="00B44E51" w:rsidRPr="00A97E91">
              <w:rPr>
                <w:rFonts w:ascii="Verdana" w:hAnsi="Verdana"/>
                <w:sz w:val="20"/>
                <w:szCs w:val="20"/>
              </w:rPr>
              <w:t>de 2019</w:t>
            </w:r>
            <w:r w:rsidRPr="00A97E91">
              <w:rPr>
                <w:rFonts w:ascii="Verdana" w:hAnsi="Verdana"/>
                <w:sz w:val="20"/>
                <w:szCs w:val="20"/>
              </w:rPr>
              <w:t xml:space="preserve">, los compromisos se distribuyeron de la siguiente manera: </w:t>
            </w:r>
            <w:r w:rsidR="00A36F0E" w:rsidRPr="00A36F0E">
              <w:rPr>
                <w:rFonts w:ascii="Verdana" w:hAnsi="Verdana"/>
                <w:sz w:val="20"/>
                <w:szCs w:val="20"/>
              </w:rPr>
              <w:t>1)</w:t>
            </w:r>
            <w:r w:rsidR="0018112F">
              <w:t xml:space="preserve"> </w:t>
            </w:r>
            <w:r w:rsidR="0018112F" w:rsidRPr="0018112F">
              <w:rPr>
                <w:rFonts w:ascii="Verdana" w:hAnsi="Verdana"/>
                <w:sz w:val="20"/>
                <w:szCs w:val="20"/>
              </w:rPr>
              <w:t>Otros Bienes Transportables (Excepto Productos Metálicos, Maquinaria Y Equipo)</w:t>
            </w:r>
            <w:r w:rsidR="0018112F" w:rsidRPr="00A36F0E">
              <w:rPr>
                <w:rFonts w:ascii="Verdana" w:hAnsi="Verdana"/>
                <w:sz w:val="20"/>
                <w:szCs w:val="20"/>
              </w:rPr>
              <w:t xml:space="preserve"> </w:t>
            </w:r>
            <w:r w:rsidR="00A36F0E" w:rsidRPr="00A36F0E">
              <w:rPr>
                <w:rFonts w:ascii="Verdana" w:hAnsi="Verdana"/>
                <w:sz w:val="20"/>
                <w:szCs w:val="20"/>
              </w:rPr>
              <w:t xml:space="preserve">con el </w:t>
            </w:r>
            <w:r w:rsidR="00D16380">
              <w:rPr>
                <w:rFonts w:ascii="Verdana" w:hAnsi="Verdana"/>
                <w:sz w:val="20"/>
                <w:szCs w:val="20"/>
              </w:rPr>
              <w:t>2,39</w:t>
            </w:r>
            <w:r w:rsidR="00A36F0E" w:rsidRPr="00A36F0E">
              <w:rPr>
                <w:rFonts w:ascii="Verdana" w:hAnsi="Verdana"/>
                <w:sz w:val="20"/>
                <w:szCs w:val="20"/>
              </w:rPr>
              <w:t xml:space="preserve">%; 2) </w:t>
            </w:r>
            <w:r w:rsidR="0018112F" w:rsidRPr="0018112F">
              <w:rPr>
                <w:rFonts w:ascii="Verdana" w:hAnsi="Verdana"/>
                <w:sz w:val="20"/>
                <w:szCs w:val="20"/>
              </w:rPr>
              <w:t>Productos Alimenticios, Bebidas Y Tabaco; Textiles, Prendas De Vestir Y Productos De Cuero</w:t>
            </w:r>
            <w:r w:rsidR="0018112F">
              <w:rPr>
                <w:rFonts w:ascii="Verdana" w:hAnsi="Verdana"/>
                <w:sz w:val="20"/>
                <w:szCs w:val="20"/>
              </w:rPr>
              <w:t xml:space="preserve"> </w:t>
            </w:r>
            <w:r w:rsidR="0018112F" w:rsidRPr="00A36F0E">
              <w:rPr>
                <w:rFonts w:ascii="Verdana" w:hAnsi="Verdana"/>
                <w:sz w:val="20"/>
                <w:szCs w:val="20"/>
              </w:rPr>
              <w:t xml:space="preserve">con </w:t>
            </w:r>
            <w:r w:rsidR="00A36F0E" w:rsidRPr="00A36F0E">
              <w:rPr>
                <w:rFonts w:ascii="Verdana" w:hAnsi="Verdana"/>
                <w:sz w:val="20"/>
                <w:szCs w:val="20"/>
              </w:rPr>
              <w:t xml:space="preserve">el </w:t>
            </w:r>
            <w:r w:rsidR="00A36F0E">
              <w:rPr>
                <w:rFonts w:ascii="Verdana" w:hAnsi="Verdana"/>
                <w:sz w:val="20"/>
                <w:szCs w:val="20"/>
              </w:rPr>
              <w:t>0,</w:t>
            </w:r>
            <w:r w:rsidR="00D16380">
              <w:rPr>
                <w:rFonts w:ascii="Verdana" w:hAnsi="Verdana"/>
                <w:sz w:val="20"/>
                <w:szCs w:val="20"/>
              </w:rPr>
              <w:t>18</w:t>
            </w:r>
            <w:r w:rsidR="00A36F0E" w:rsidRPr="00A36F0E">
              <w:rPr>
                <w:rFonts w:ascii="Verdana" w:hAnsi="Verdana"/>
                <w:sz w:val="20"/>
                <w:szCs w:val="20"/>
              </w:rPr>
              <w:t xml:space="preserve">%; 3) </w:t>
            </w:r>
            <w:r w:rsidR="0018112F" w:rsidRPr="0018112F">
              <w:rPr>
                <w:rFonts w:ascii="Verdana" w:hAnsi="Verdana"/>
                <w:sz w:val="20"/>
                <w:szCs w:val="20"/>
              </w:rPr>
              <w:t>Servicios De Alojamiento; Servicios De Suministro De Comidas Y Bebidas; Servicios De Transporte; Y Servicios De Distribución De Electricidad, Gas Y Agua</w:t>
            </w:r>
            <w:r w:rsidR="0018112F">
              <w:rPr>
                <w:rFonts w:ascii="Verdana" w:hAnsi="Verdana"/>
                <w:sz w:val="20"/>
                <w:szCs w:val="20"/>
              </w:rPr>
              <w:t xml:space="preserve"> </w:t>
            </w:r>
            <w:r w:rsidR="00A36F0E" w:rsidRPr="00A36F0E">
              <w:rPr>
                <w:rFonts w:ascii="Verdana" w:hAnsi="Verdana"/>
                <w:sz w:val="20"/>
                <w:szCs w:val="20"/>
              </w:rPr>
              <w:t xml:space="preserve">con el </w:t>
            </w:r>
            <w:r w:rsidR="00D16380">
              <w:rPr>
                <w:rFonts w:ascii="Verdana" w:hAnsi="Verdana"/>
                <w:sz w:val="20"/>
                <w:szCs w:val="20"/>
              </w:rPr>
              <w:t>8,02</w:t>
            </w:r>
            <w:r w:rsidR="00A36F0E" w:rsidRPr="00A36F0E">
              <w:rPr>
                <w:rFonts w:ascii="Verdana" w:hAnsi="Verdana"/>
                <w:sz w:val="20"/>
                <w:szCs w:val="20"/>
              </w:rPr>
              <w:t xml:space="preserve">%; 4) </w:t>
            </w:r>
            <w:r w:rsidR="0018112F" w:rsidRPr="0018112F">
              <w:rPr>
                <w:rFonts w:ascii="Verdana" w:hAnsi="Verdana"/>
                <w:sz w:val="20"/>
                <w:szCs w:val="20"/>
              </w:rPr>
              <w:t>Servicios De La Construcción</w:t>
            </w:r>
            <w:r w:rsidR="00A36F0E" w:rsidRPr="00A36F0E">
              <w:rPr>
                <w:rFonts w:ascii="Verdana" w:hAnsi="Verdana"/>
                <w:sz w:val="20"/>
                <w:szCs w:val="20"/>
              </w:rPr>
              <w:t xml:space="preserve"> con el </w:t>
            </w:r>
            <w:r w:rsidR="0018112F">
              <w:rPr>
                <w:rFonts w:ascii="Verdana" w:hAnsi="Verdana"/>
                <w:sz w:val="20"/>
                <w:szCs w:val="20"/>
              </w:rPr>
              <w:t>0,</w:t>
            </w:r>
            <w:r w:rsidR="00D16380">
              <w:rPr>
                <w:rFonts w:ascii="Verdana" w:hAnsi="Verdana"/>
                <w:sz w:val="20"/>
                <w:szCs w:val="20"/>
              </w:rPr>
              <w:t>60</w:t>
            </w:r>
            <w:r w:rsidR="00A36F0E" w:rsidRPr="00A36F0E">
              <w:rPr>
                <w:rFonts w:ascii="Verdana" w:hAnsi="Verdana"/>
                <w:sz w:val="20"/>
                <w:szCs w:val="20"/>
              </w:rPr>
              <w:t xml:space="preserve">%; 5) </w:t>
            </w:r>
            <w:r w:rsidR="0018112F" w:rsidRPr="0018112F">
              <w:rPr>
                <w:rFonts w:ascii="Verdana" w:hAnsi="Verdana"/>
                <w:sz w:val="20"/>
                <w:szCs w:val="20"/>
              </w:rPr>
              <w:t>Servicios Financieros Y Servicios Conexos, Servicios Inmobiliarios Y Servicios De Leasing</w:t>
            </w:r>
            <w:r w:rsidR="0018112F" w:rsidRPr="00A36F0E">
              <w:rPr>
                <w:rFonts w:ascii="Verdana" w:hAnsi="Verdana"/>
                <w:sz w:val="20"/>
                <w:szCs w:val="20"/>
              </w:rPr>
              <w:t xml:space="preserve"> </w:t>
            </w:r>
            <w:r w:rsidR="00A36F0E" w:rsidRPr="00A36F0E">
              <w:rPr>
                <w:rFonts w:ascii="Verdana" w:hAnsi="Verdana"/>
                <w:sz w:val="20"/>
                <w:szCs w:val="20"/>
              </w:rPr>
              <w:t xml:space="preserve">con el </w:t>
            </w:r>
            <w:r w:rsidR="000141D8">
              <w:rPr>
                <w:rFonts w:ascii="Verdana" w:hAnsi="Verdana"/>
                <w:sz w:val="20"/>
                <w:szCs w:val="20"/>
              </w:rPr>
              <w:t>4</w:t>
            </w:r>
            <w:r w:rsidR="00D16380">
              <w:rPr>
                <w:rFonts w:ascii="Verdana" w:hAnsi="Verdana"/>
                <w:sz w:val="20"/>
                <w:szCs w:val="20"/>
              </w:rPr>
              <w:t>7</w:t>
            </w:r>
            <w:r w:rsidR="000141D8">
              <w:rPr>
                <w:rFonts w:ascii="Verdana" w:hAnsi="Verdana"/>
                <w:sz w:val="20"/>
                <w:szCs w:val="20"/>
              </w:rPr>
              <w:t>,70</w:t>
            </w:r>
            <w:r w:rsidR="00A36F0E" w:rsidRPr="00A36F0E">
              <w:rPr>
                <w:rFonts w:ascii="Verdana" w:hAnsi="Verdana"/>
                <w:sz w:val="20"/>
                <w:szCs w:val="20"/>
              </w:rPr>
              <w:t>%; 6) S</w:t>
            </w:r>
            <w:r w:rsidR="0018112F">
              <w:t xml:space="preserve"> </w:t>
            </w:r>
            <w:r w:rsidR="0018112F" w:rsidRPr="0018112F">
              <w:rPr>
                <w:rFonts w:ascii="Verdana" w:hAnsi="Verdana"/>
                <w:sz w:val="20"/>
                <w:szCs w:val="20"/>
              </w:rPr>
              <w:t xml:space="preserve">Servicios Para La Comunidad, Sociales Y Personales </w:t>
            </w:r>
            <w:r w:rsidR="00D16380">
              <w:rPr>
                <w:rFonts w:ascii="Verdana" w:hAnsi="Verdana"/>
                <w:sz w:val="20"/>
                <w:szCs w:val="20"/>
              </w:rPr>
              <w:t>con el 6,37</w:t>
            </w:r>
            <w:r w:rsidR="00A36F0E" w:rsidRPr="00A36F0E">
              <w:rPr>
                <w:rFonts w:ascii="Verdana" w:hAnsi="Verdana"/>
                <w:sz w:val="20"/>
                <w:szCs w:val="20"/>
              </w:rPr>
              <w:t xml:space="preserve">%; 7) </w:t>
            </w:r>
            <w:r w:rsidR="0018112F" w:rsidRPr="0018112F">
              <w:rPr>
                <w:rFonts w:ascii="Verdana" w:hAnsi="Verdana"/>
                <w:sz w:val="20"/>
                <w:szCs w:val="20"/>
              </w:rPr>
              <w:t>Servicios Prestados A Las Empresas Y Servicios De Producción</w:t>
            </w:r>
            <w:r w:rsidR="0018112F" w:rsidRPr="00A36F0E">
              <w:rPr>
                <w:rFonts w:ascii="Verdana" w:hAnsi="Verdana"/>
                <w:sz w:val="20"/>
                <w:szCs w:val="20"/>
              </w:rPr>
              <w:t xml:space="preserve"> </w:t>
            </w:r>
            <w:r w:rsidR="00A36F0E" w:rsidRPr="00A36F0E">
              <w:rPr>
                <w:rFonts w:ascii="Verdana" w:hAnsi="Verdana"/>
                <w:sz w:val="20"/>
                <w:szCs w:val="20"/>
              </w:rPr>
              <w:t xml:space="preserve">con el </w:t>
            </w:r>
            <w:r w:rsidR="00D16380">
              <w:rPr>
                <w:rFonts w:ascii="Verdana" w:hAnsi="Verdana"/>
                <w:sz w:val="20"/>
                <w:szCs w:val="20"/>
              </w:rPr>
              <w:t>32,14</w:t>
            </w:r>
            <w:r w:rsidR="0018112F">
              <w:rPr>
                <w:rFonts w:ascii="Verdana" w:hAnsi="Verdana"/>
                <w:sz w:val="20"/>
                <w:szCs w:val="20"/>
              </w:rPr>
              <w:t>%; 8)</w:t>
            </w:r>
            <w:r w:rsidR="0018112F">
              <w:t xml:space="preserve"> </w:t>
            </w:r>
            <w:r w:rsidR="0018112F" w:rsidRPr="0018112F">
              <w:rPr>
                <w:rFonts w:ascii="Verdana" w:hAnsi="Verdana"/>
                <w:sz w:val="20"/>
                <w:szCs w:val="20"/>
              </w:rPr>
              <w:t>Viáticos De Los Funcionarios En Comisión</w:t>
            </w:r>
            <w:r w:rsidR="0018112F" w:rsidRPr="00A36F0E">
              <w:rPr>
                <w:rFonts w:ascii="Verdana" w:hAnsi="Verdana"/>
                <w:sz w:val="20"/>
                <w:szCs w:val="20"/>
              </w:rPr>
              <w:t xml:space="preserve"> </w:t>
            </w:r>
            <w:r w:rsidR="0018112F">
              <w:rPr>
                <w:rFonts w:ascii="Verdana" w:hAnsi="Verdana"/>
                <w:sz w:val="20"/>
                <w:szCs w:val="20"/>
              </w:rPr>
              <w:t xml:space="preserve"> con </w:t>
            </w:r>
            <w:r w:rsidR="0018112F" w:rsidRPr="00A36F0E">
              <w:rPr>
                <w:rFonts w:ascii="Verdana" w:hAnsi="Verdana"/>
                <w:sz w:val="20"/>
                <w:szCs w:val="20"/>
              </w:rPr>
              <w:t xml:space="preserve">el </w:t>
            </w:r>
            <w:r w:rsidR="00D16380">
              <w:rPr>
                <w:rFonts w:ascii="Verdana" w:hAnsi="Verdana"/>
                <w:sz w:val="20"/>
                <w:szCs w:val="20"/>
              </w:rPr>
              <w:t>2,59</w:t>
            </w:r>
            <w:r w:rsidR="0018112F">
              <w:rPr>
                <w:rFonts w:ascii="Verdana" w:hAnsi="Verdana"/>
                <w:sz w:val="20"/>
                <w:szCs w:val="20"/>
              </w:rPr>
              <w:t>%.</w:t>
            </w:r>
          </w:p>
          <w:p w:rsidR="00873972" w:rsidRPr="003A4A1F" w:rsidRDefault="00873972" w:rsidP="00A36F0E">
            <w:pPr>
              <w:jc w:val="both"/>
              <w:rPr>
                <w:rFonts w:ascii="Verdana" w:hAnsi="Verdana"/>
                <w:sz w:val="20"/>
                <w:szCs w:val="20"/>
                <w:highlight w:val="yellow"/>
              </w:rPr>
            </w:pPr>
          </w:p>
        </w:tc>
        <w:tc>
          <w:tcPr>
            <w:tcW w:w="6640" w:type="dxa"/>
            <w:vAlign w:val="center"/>
          </w:tcPr>
          <w:p w:rsidR="001E4610" w:rsidRPr="00890AD3" w:rsidRDefault="001E4610" w:rsidP="001E4610">
            <w:pPr>
              <w:jc w:val="both"/>
              <w:rPr>
                <w:rFonts w:ascii="Verdana" w:eastAsiaTheme="minorHAnsi" w:hAnsi="Verdana" w:cs="Arial"/>
                <w:sz w:val="20"/>
                <w:szCs w:val="20"/>
                <w:lang w:val="es-CO" w:eastAsia="en-US"/>
              </w:rPr>
            </w:pPr>
            <w:r w:rsidRPr="00890AD3">
              <w:rPr>
                <w:rFonts w:ascii="Verdana" w:eastAsiaTheme="minorHAnsi" w:hAnsi="Verdana" w:cs="Arial"/>
                <w:sz w:val="20"/>
                <w:szCs w:val="20"/>
                <w:lang w:val="es-CO" w:eastAsia="en-US"/>
              </w:rPr>
              <w:lastRenderedPageBreak/>
              <w:t>Indicador: Ejecución Obligaciones / Apropiación Vigente.</w:t>
            </w:r>
          </w:p>
          <w:p w:rsidR="001E4610" w:rsidRPr="00890AD3" w:rsidRDefault="00A40138" w:rsidP="001E4610">
            <w:pPr>
              <w:jc w:val="both"/>
              <w:rPr>
                <w:rFonts w:ascii="Verdana" w:eastAsiaTheme="minorHAnsi" w:hAnsi="Verdana" w:cs="Arial"/>
                <w:sz w:val="20"/>
                <w:szCs w:val="20"/>
                <w:lang w:val="es-CO" w:eastAsia="en-US"/>
              </w:rPr>
            </w:pPr>
            <w:r w:rsidRPr="00890AD3">
              <w:rPr>
                <w:rFonts w:ascii="Verdana" w:eastAsiaTheme="minorHAnsi" w:hAnsi="Verdana" w:cs="Arial"/>
                <w:sz w:val="20"/>
                <w:szCs w:val="20"/>
                <w:lang w:val="es-CO" w:eastAsia="en-US"/>
              </w:rPr>
              <w:t xml:space="preserve">Indicador: </w:t>
            </w:r>
            <w:r w:rsidR="008F00BC">
              <w:rPr>
                <w:rFonts w:ascii="Verdana" w:eastAsiaTheme="minorHAnsi" w:hAnsi="Verdana" w:cs="Arial"/>
                <w:sz w:val="20"/>
                <w:szCs w:val="20"/>
                <w:lang w:val="es-CO" w:eastAsia="en-US"/>
              </w:rPr>
              <w:t>2.015</w:t>
            </w:r>
            <w:r w:rsidR="00334403">
              <w:rPr>
                <w:rFonts w:ascii="Verdana" w:eastAsiaTheme="minorHAnsi" w:hAnsi="Verdana" w:cs="Arial"/>
                <w:sz w:val="20"/>
                <w:szCs w:val="20"/>
                <w:lang w:val="es-CO" w:eastAsia="en-US"/>
              </w:rPr>
              <w:t>,</w:t>
            </w:r>
            <w:r w:rsidR="008F00BC">
              <w:rPr>
                <w:rFonts w:ascii="Verdana" w:eastAsiaTheme="minorHAnsi" w:hAnsi="Verdana" w:cs="Arial"/>
                <w:sz w:val="20"/>
                <w:szCs w:val="20"/>
                <w:lang w:val="es-CO" w:eastAsia="en-US"/>
              </w:rPr>
              <w:t>4</w:t>
            </w:r>
            <w:r w:rsidR="00A97E91" w:rsidRPr="00890AD3">
              <w:rPr>
                <w:rFonts w:ascii="Verdana" w:eastAsiaTheme="minorHAnsi" w:hAnsi="Verdana" w:cs="Arial"/>
                <w:sz w:val="20"/>
                <w:szCs w:val="20"/>
                <w:lang w:val="es-CO" w:eastAsia="en-US"/>
              </w:rPr>
              <w:t xml:space="preserve"> </w:t>
            </w:r>
            <w:r w:rsidR="008C5467" w:rsidRPr="00890AD3">
              <w:rPr>
                <w:rFonts w:ascii="Verdana" w:eastAsiaTheme="minorHAnsi" w:hAnsi="Verdana" w:cs="Arial"/>
                <w:sz w:val="20"/>
                <w:szCs w:val="20"/>
                <w:lang w:val="es-CO" w:eastAsia="en-US"/>
              </w:rPr>
              <w:t xml:space="preserve">/ </w:t>
            </w:r>
            <w:r w:rsidR="006D7E6A" w:rsidRPr="00890AD3">
              <w:rPr>
                <w:rFonts w:ascii="Verdana" w:eastAsiaTheme="minorHAnsi" w:hAnsi="Verdana" w:cs="Arial"/>
                <w:sz w:val="20"/>
                <w:szCs w:val="20"/>
                <w:lang w:val="es-CO" w:eastAsia="en-US"/>
              </w:rPr>
              <w:t xml:space="preserve">3.824,0 </w:t>
            </w:r>
            <w:r w:rsidR="001E4610" w:rsidRPr="00890AD3">
              <w:rPr>
                <w:rFonts w:ascii="Verdana" w:eastAsiaTheme="minorHAnsi" w:hAnsi="Verdana" w:cs="Arial"/>
                <w:sz w:val="20"/>
                <w:szCs w:val="20"/>
                <w:lang w:val="es-CO" w:eastAsia="en-US"/>
              </w:rPr>
              <w:t xml:space="preserve">= </w:t>
            </w:r>
            <w:r w:rsidR="008F00BC">
              <w:rPr>
                <w:rFonts w:ascii="Verdana" w:eastAsiaTheme="minorHAnsi" w:hAnsi="Verdana" w:cs="Arial"/>
                <w:sz w:val="20"/>
                <w:szCs w:val="20"/>
                <w:lang w:val="es-CO" w:eastAsia="en-US"/>
              </w:rPr>
              <w:t>52</w:t>
            </w:r>
            <w:r w:rsidR="00552C27">
              <w:rPr>
                <w:rFonts w:ascii="Verdana" w:eastAsiaTheme="minorHAnsi" w:hAnsi="Verdana" w:cs="Arial"/>
                <w:sz w:val="20"/>
                <w:szCs w:val="20"/>
                <w:lang w:val="es-CO" w:eastAsia="en-US"/>
              </w:rPr>
              <w:t>,</w:t>
            </w:r>
            <w:r w:rsidR="008F00BC">
              <w:rPr>
                <w:rFonts w:ascii="Verdana" w:eastAsiaTheme="minorHAnsi" w:hAnsi="Verdana" w:cs="Arial"/>
                <w:sz w:val="20"/>
                <w:szCs w:val="20"/>
                <w:lang w:val="es-CO" w:eastAsia="en-US"/>
              </w:rPr>
              <w:t>70</w:t>
            </w:r>
            <w:r w:rsidR="009B34EA" w:rsidRPr="00890AD3">
              <w:rPr>
                <w:rFonts w:ascii="Verdana" w:eastAsiaTheme="minorHAnsi" w:hAnsi="Verdana" w:cs="Arial"/>
                <w:sz w:val="20"/>
                <w:szCs w:val="20"/>
                <w:lang w:val="es-CO" w:eastAsia="en-US"/>
              </w:rPr>
              <w:t>%.</w:t>
            </w:r>
          </w:p>
          <w:p w:rsidR="001E4610" w:rsidRPr="00890AD3" w:rsidRDefault="001E4610" w:rsidP="001E4610">
            <w:pPr>
              <w:jc w:val="both"/>
              <w:rPr>
                <w:rFonts w:ascii="Verdana" w:eastAsiaTheme="minorHAnsi" w:hAnsi="Verdana" w:cs="Arial"/>
                <w:sz w:val="20"/>
                <w:szCs w:val="20"/>
                <w:lang w:val="es-CO" w:eastAsia="en-US"/>
              </w:rPr>
            </w:pPr>
          </w:p>
          <w:p w:rsidR="00F765B7" w:rsidRDefault="008C5467" w:rsidP="004D756C">
            <w:pPr>
              <w:jc w:val="both"/>
              <w:rPr>
                <w:rFonts w:ascii="Verdana" w:hAnsi="Verdana" w:cs="Arial"/>
                <w:sz w:val="20"/>
                <w:szCs w:val="20"/>
                <w:lang w:val="es-CO"/>
              </w:rPr>
            </w:pPr>
            <w:r w:rsidRPr="00890AD3">
              <w:rPr>
                <w:rFonts w:ascii="Verdana" w:eastAsiaTheme="minorHAnsi" w:hAnsi="Verdana" w:cs="Arial"/>
                <w:sz w:val="20"/>
                <w:szCs w:val="20"/>
                <w:lang w:val="es-CO" w:eastAsia="en-US"/>
              </w:rPr>
              <w:t xml:space="preserve">La ejecución alcanzó el </w:t>
            </w:r>
            <w:r w:rsidR="008F00BC">
              <w:rPr>
                <w:rFonts w:ascii="Verdana" w:eastAsiaTheme="minorHAnsi" w:hAnsi="Verdana" w:cs="Arial"/>
                <w:sz w:val="20"/>
                <w:szCs w:val="20"/>
                <w:lang w:val="es-CO" w:eastAsia="en-US"/>
              </w:rPr>
              <w:t>52,70</w:t>
            </w:r>
            <w:r w:rsidR="001E4610" w:rsidRPr="00890AD3">
              <w:rPr>
                <w:rFonts w:ascii="Verdana" w:eastAsiaTheme="minorHAnsi" w:hAnsi="Verdana" w:cs="Arial"/>
                <w:sz w:val="20"/>
                <w:szCs w:val="20"/>
                <w:lang w:val="es-CO" w:eastAsia="en-US"/>
              </w:rPr>
              <w:t>% de la apropi</w:t>
            </w:r>
            <w:r w:rsidR="00754541" w:rsidRPr="00890AD3">
              <w:rPr>
                <w:rFonts w:ascii="Verdana" w:eastAsiaTheme="minorHAnsi" w:hAnsi="Verdana" w:cs="Arial"/>
                <w:sz w:val="20"/>
                <w:szCs w:val="20"/>
                <w:lang w:val="es-CO" w:eastAsia="en-US"/>
              </w:rPr>
              <w:t>ación</w:t>
            </w:r>
            <w:r w:rsidR="00D92DE8" w:rsidRPr="00890AD3">
              <w:rPr>
                <w:rFonts w:ascii="Verdana" w:eastAsiaTheme="minorHAnsi" w:hAnsi="Verdana" w:cs="Arial"/>
                <w:sz w:val="20"/>
                <w:szCs w:val="20"/>
                <w:lang w:val="es-CO" w:eastAsia="en-US"/>
              </w:rPr>
              <w:t>,</w:t>
            </w:r>
            <w:r w:rsidR="00754541" w:rsidRPr="00890AD3">
              <w:rPr>
                <w:rFonts w:ascii="Verdana" w:eastAsiaTheme="minorHAnsi" w:hAnsi="Verdana" w:cs="Arial"/>
                <w:sz w:val="20"/>
                <w:szCs w:val="20"/>
                <w:lang w:val="es-CO" w:eastAsia="en-US"/>
              </w:rPr>
              <w:t xml:space="preserve"> frente a una meta del </w:t>
            </w:r>
            <w:r w:rsidR="008F00BC">
              <w:rPr>
                <w:rFonts w:ascii="Verdana" w:eastAsiaTheme="minorHAnsi" w:hAnsi="Verdana" w:cs="Arial"/>
                <w:sz w:val="20"/>
                <w:szCs w:val="20"/>
                <w:lang w:val="es-CO" w:eastAsia="en-US"/>
              </w:rPr>
              <w:t>52,66</w:t>
            </w:r>
            <w:r w:rsidR="00754541" w:rsidRPr="00890AD3">
              <w:rPr>
                <w:rFonts w:ascii="Verdana" w:eastAsiaTheme="minorHAnsi" w:hAnsi="Verdana" w:cs="Arial"/>
                <w:sz w:val="20"/>
                <w:szCs w:val="20"/>
                <w:lang w:val="es-CO" w:eastAsia="en-US"/>
              </w:rPr>
              <w:t xml:space="preserve">%, </w:t>
            </w:r>
            <w:r w:rsidR="003B4994" w:rsidRPr="00890AD3">
              <w:rPr>
                <w:rFonts w:ascii="Verdana" w:eastAsiaTheme="minorHAnsi" w:hAnsi="Verdana" w:cs="Arial"/>
                <w:sz w:val="20"/>
                <w:szCs w:val="20"/>
                <w:lang w:val="es-CO" w:eastAsia="en-US"/>
              </w:rPr>
              <w:t xml:space="preserve">presentándose un </w:t>
            </w:r>
            <w:r w:rsidR="00552C27" w:rsidRPr="00C55089">
              <w:rPr>
                <w:rFonts w:ascii="Verdana" w:hAnsi="Verdana" w:cs="Arial"/>
                <w:sz w:val="20"/>
                <w:szCs w:val="20"/>
                <w:lang w:val="es-CO"/>
              </w:rPr>
              <w:t xml:space="preserve">Superávit en la ejecución </w:t>
            </w:r>
            <w:r w:rsidR="00552C27" w:rsidRPr="00C55089">
              <w:rPr>
                <w:rFonts w:ascii="Verdana" w:hAnsi="Verdana" w:cs="Arial"/>
                <w:sz w:val="20"/>
                <w:szCs w:val="20"/>
                <w:lang w:val="es-CO"/>
              </w:rPr>
              <w:lastRenderedPageBreak/>
              <w:t xml:space="preserve">de adquisición de bienes y servicios por </w:t>
            </w:r>
            <w:r w:rsidR="008F00BC">
              <w:rPr>
                <w:rFonts w:ascii="Verdana" w:hAnsi="Verdana" w:cs="Arial"/>
                <w:sz w:val="20"/>
                <w:szCs w:val="20"/>
                <w:lang w:val="es-CO"/>
              </w:rPr>
              <w:t>1,6</w:t>
            </w:r>
            <w:r w:rsidR="00552C27" w:rsidRPr="00C55089">
              <w:rPr>
                <w:rFonts w:ascii="Verdana" w:hAnsi="Verdana" w:cs="Arial"/>
                <w:sz w:val="20"/>
                <w:szCs w:val="20"/>
                <w:lang w:val="es-CO"/>
              </w:rPr>
              <w:t xml:space="preserve"> </w:t>
            </w:r>
            <w:r w:rsidR="008F00BC">
              <w:rPr>
                <w:rFonts w:ascii="Verdana" w:hAnsi="Verdana" w:cs="Arial"/>
                <w:sz w:val="20"/>
                <w:szCs w:val="20"/>
                <w:lang w:val="es-CO"/>
              </w:rPr>
              <w:t>millón</w:t>
            </w:r>
            <w:r w:rsidR="00552C27">
              <w:rPr>
                <w:rFonts w:ascii="Verdana" w:hAnsi="Verdana" w:cs="Arial"/>
                <w:sz w:val="20"/>
                <w:szCs w:val="20"/>
                <w:lang w:val="es-CO"/>
              </w:rPr>
              <w:t>, se cumplió la meta.</w:t>
            </w:r>
          </w:p>
          <w:p w:rsidR="00552C27" w:rsidRDefault="00552C27" w:rsidP="004D756C">
            <w:pPr>
              <w:jc w:val="both"/>
              <w:rPr>
                <w:rFonts w:ascii="Verdana" w:eastAsiaTheme="minorHAnsi" w:hAnsi="Verdana" w:cs="Arial"/>
                <w:sz w:val="20"/>
                <w:szCs w:val="20"/>
                <w:lang w:val="es-CO" w:eastAsia="en-US"/>
              </w:rPr>
            </w:pPr>
          </w:p>
          <w:p w:rsidR="00890AD3" w:rsidRDefault="00A76823" w:rsidP="00890AD3">
            <w:pPr>
              <w:jc w:val="both"/>
              <w:rPr>
                <w:rFonts w:ascii="Verdana" w:eastAsiaTheme="minorHAnsi" w:hAnsi="Verdana" w:cs="Arial"/>
                <w:sz w:val="20"/>
                <w:szCs w:val="20"/>
                <w:lang w:val="es-CO" w:eastAsia="en-US"/>
              </w:rPr>
            </w:pPr>
            <w:r>
              <w:rPr>
                <w:rFonts w:ascii="Verdana" w:eastAsiaTheme="minorHAnsi" w:hAnsi="Verdana" w:cs="Arial"/>
                <w:sz w:val="20"/>
                <w:szCs w:val="20"/>
                <w:lang w:val="es-CO" w:eastAsia="en-US"/>
              </w:rPr>
              <w:t>Con corte a</w:t>
            </w:r>
            <w:r w:rsidR="00890AD3" w:rsidRPr="00890AD3">
              <w:rPr>
                <w:rFonts w:ascii="Verdana" w:eastAsiaTheme="minorHAnsi" w:hAnsi="Verdana" w:cs="Arial"/>
                <w:sz w:val="20"/>
                <w:szCs w:val="20"/>
                <w:lang w:val="es-CO" w:eastAsia="en-US"/>
              </w:rPr>
              <w:t xml:space="preserve"> </w:t>
            </w:r>
            <w:r w:rsidR="008F00BC">
              <w:rPr>
                <w:rFonts w:ascii="Verdana" w:eastAsiaTheme="minorHAnsi" w:hAnsi="Verdana" w:cs="Arial"/>
                <w:sz w:val="20"/>
                <w:szCs w:val="20"/>
                <w:lang w:val="es-CO" w:eastAsia="en-US"/>
              </w:rPr>
              <w:t xml:space="preserve">31 agosto </w:t>
            </w:r>
            <w:r w:rsidR="00890AD3" w:rsidRPr="00890AD3">
              <w:rPr>
                <w:rFonts w:ascii="Verdana" w:eastAsiaTheme="minorHAnsi" w:hAnsi="Verdana" w:cs="Arial"/>
                <w:sz w:val="20"/>
                <w:szCs w:val="20"/>
                <w:lang w:val="es-CO" w:eastAsia="en-US"/>
              </w:rPr>
              <w:t xml:space="preserve">de 2019, las obligaciones se han distribuido de la siguiente manera: </w:t>
            </w:r>
          </w:p>
          <w:p w:rsidR="00552C27" w:rsidRDefault="00552C27" w:rsidP="00890AD3">
            <w:pPr>
              <w:jc w:val="both"/>
              <w:rPr>
                <w:rFonts w:ascii="Verdana" w:eastAsiaTheme="minorHAnsi" w:hAnsi="Verdana" w:cs="Arial"/>
                <w:sz w:val="20"/>
                <w:szCs w:val="20"/>
                <w:lang w:val="es-CO" w:eastAsia="en-US"/>
              </w:rPr>
            </w:pPr>
          </w:p>
          <w:p w:rsidR="00890AD3" w:rsidRPr="00890AD3" w:rsidRDefault="00F765B7" w:rsidP="00890AD3">
            <w:pPr>
              <w:jc w:val="both"/>
              <w:rPr>
                <w:rFonts w:ascii="Verdana" w:eastAsiaTheme="minorHAnsi" w:hAnsi="Verdana" w:cs="Arial"/>
                <w:sz w:val="20"/>
                <w:szCs w:val="20"/>
                <w:lang w:val="es-CO" w:eastAsia="en-US"/>
              </w:rPr>
            </w:pPr>
            <w:r>
              <w:rPr>
                <w:rFonts w:ascii="Verdana" w:eastAsiaTheme="minorHAnsi" w:hAnsi="Verdana" w:cs="Arial"/>
                <w:sz w:val="20"/>
                <w:szCs w:val="20"/>
                <w:lang w:val="es-CO" w:eastAsia="en-US"/>
              </w:rPr>
              <w:t>1)</w:t>
            </w:r>
            <w:r>
              <w:t xml:space="preserve"> </w:t>
            </w:r>
            <w:r w:rsidRPr="00F765B7">
              <w:rPr>
                <w:rFonts w:ascii="Verdana" w:eastAsiaTheme="minorHAnsi" w:hAnsi="Verdana" w:cs="Arial"/>
                <w:sz w:val="20"/>
                <w:szCs w:val="20"/>
                <w:lang w:val="es-CO" w:eastAsia="en-US"/>
              </w:rPr>
              <w:t>Productos Alimenticios, Bebidas Y Tabaco; Textiles, Prendas De Vestir Y Productos De Cuero</w:t>
            </w:r>
            <w:r>
              <w:rPr>
                <w:rFonts w:ascii="Verdana" w:eastAsiaTheme="minorHAnsi" w:hAnsi="Verdana" w:cs="Arial"/>
                <w:sz w:val="20"/>
                <w:szCs w:val="20"/>
                <w:lang w:val="es-CO" w:eastAsia="en-US"/>
              </w:rPr>
              <w:t xml:space="preserve"> con el 0,</w:t>
            </w:r>
            <w:r w:rsidR="0097517B">
              <w:rPr>
                <w:rFonts w:ascii="Verdana" w:eastAsiaTheme="minorHAnsi" w:hAnsi="Verdana" w:cs="Arial"/>
                <w:sz w:val="20"/>
                <w:szCs w:val="20"/>
                <w:lang w:val="es-CO" w:eastAsia="en-US"/>
              </w:rPr>
              <w:t>09</w:t>
            </w:r>
            <w:r>
              <w:rPr>
                <w:rFonts w:ascii="Verdana" w:eastAsiaTheme="minorHAnsi" w:hAnsi="Verdana" w:cs="Arial"/>
                <w:sz w:val="20"/>
                <w:szCs w:val="20"/>
                <w:lang w:val="es-CO" w:eastAsia="en-US"/>
              </w:rPr>
              <w:t>%;2</w:t>
            </w:r>
            <w:r w:rsidR="00890AD3" w:rsidRPr="00890AD3">
              <w:rPr>
                <w:rFonts w:ascii="Verdana" w:eastAsiaTheme="minorHAnsi" w:hAnsi="Verdana" w:cs="Arial"/>
                <w:sz w:val="20"/>
                <w:szCs w:val="20"/>
                <w:lang w:val="es-CO" w:eastAsia="en-US"/>
              </w:rPr>
              <w:t xml:space="preserve">)Otros bienes transportables con el </w:t>
            </w:r>
            <w:r w:rsidR="0097517B">
              <w:rPr>
                <w:rFonts w:ascii="Verdana" w:eastAsiaTheme="minorHAnsi" w:hAnsi="Verdana" w:cs="Arial"/>
                <w:sz w:val="20"/>
                <w:szCs w:val="20"/>
                <w:lang w:val="es-CO" w:eastAsia="en-US"/>
              </w:rPr>
              <w:t>1,05</w:t>
            </w:r>
            <w:r>
              <w:rPr>
                <w:rFonts w:ascii="Verdana" w:eastAsiaTheme="minorHAnsi" w:hAnsi="Verdana" w:cs="Arial"/>
                <w:sz w:val="20"/>
                <w:szCs w:val="20"/>
                <w:lang w:val="es-CO" w:eastAsia="en-US"/>
              </w:rPr>
              <w:t>%; 3</w:t>
            </w:r>
            <w:r w:rsidR="00890AD3" w:rsidRPr="00890AD3">
              <w:rPr>
                <w:rFonts w:ascii="Verdana" w:eastAsiaTheme="minorHAnsi" w:hAnsi="Verdana" w:cs="Arial"/>
                <w:sz w:val="20"/>
                <w:szCs w:val="20"/>
                <w:lang w:val="es-CO" w:eastAsia="en-US"/>
              </w:rPr>
              <w:t>) Servicios de la construcción con el 0,</w:t>
            </w:r>
            <w:r w:rsidR="0097517B">
              <w:rPr>
                <w:rFonts w:ascii="Verdana" w:eastAsiaTheme="minorHAnsi" w:hAnsi="Verdana" w:cs="Arial"/>
                <w:sz w:val="20"/>
                <w:szCs w:val="20"/>
                <w:lang w:val="es-CO" w:eastAsia="en-US"/>
              </w:rPr>
              <w:t>52</w:t>
            </w:r>
            <w:r>
              <w:rPr>
                <w:rFonts w:ascii="Verdana" w:eastAsiaTheme="minorHAnsi" w:hAnsi="Verdana" w:cs="Arial"/>
                <w:sz w:val="20"/>
                <w:szCs w:val="20"/>
                <w:lang w:val="es-CO" w:eastAsia="en-US"/>
              </w:rPr>
              <w:t>%; 4</w:t>
            </w:r>
            <w:r w:rsidR="00890AD3" w:rsidRPr="00890AD3">
              <w:rPr>
                <w:rFonts w:ascii="Verdana" w:eastAsiaTheme="minorHAnsi" w:hAnsi="Verdana" w:cs="Arial"/>
                <w:sz w:val="20"/>
                <w:szCs w:val="20"/>
                <w:lang w:val="es-CO" w:eastAsia="en-US"/>
              </w:rPr>
              <w:t>) Servicios de alojamiento, suministro de comidas y bebidas, transporte y servicios de distribución de ele</w:t>
            </w:r>
            <w:r w:rsidR="00A76823">
              <w:rPr>
                <w:rFonts w:ascii="Verdana" w:eastAsiaTheme="minorHAnsi" w:hAnsi="Verdana" w:cs="Arial"/>
                <w:sz w:val="20"/>
                <w:szCs w:val="20"/>
                <w:lang w:val="es-CO" w:eastAsia="en-US"/>
              </w:rPr>
              <w:t xml:space="preserve">ctricidad, gas y agua con el </w:t>
            </w:r>
            <w:r w:rsidR="0097517B">
              <w:rPr>
                <w:rFonts w:ascii="Verdana" w:eastAsiaTheme="minorHAnsi" w:hAnsi="Verdana" w:cs="Arial"/>
                <w:sz w:val="20"/>
                <w:szCs w:val="20"/>
                <w:lang w:val="es-CO" w:eastAsia="en-US"/>
              </w:rPr>
              <w:t>8,15</w:t>
            </w:r>
            <w:r w:rsidR="00890AD3" w:rsidRPr="00890AD3">
              <w:rPr>
                <w:rFonts w:ascii="Verdana" w:eastAsiaTheme="minorHAnsi" w:hAnsi="Verdana" w:cs="Arial"/>
                <w:sz w:val="20"/>
                <w:szCs w:val="20"/>
                <w:lang w:val="es-CO" w:eastAsia="en-US"/>
              </w:rPr>
              <w:t xml:space="preserve">%; </w:t>
            </w:r>
            <w:r>
              <w:rPr>
                <w:rFonts w:ascii="Verdana" w:eastAsiaTheme="minorHAnsi" w:hAnsi="Verdana" w:cs="Arial"/>
                <w:sz w:val="20"/>
                <w:szCs w:val="20"/>
                <w:lang w:val="es-CO" w:eastAsia="en-US"/>
              </w:rPr>
              <w:t>5</w:t>
            </w:r>
            <w:r w:rsidR="00890AD3" w:rsidRPr="00890AD3">
              <w:rPr>
                <w:rFonts w:ascii="Verdana" w:eastAsiaTheme="minorHAnsi" w:hAnsi="Verdana" w:cs="Arial"/>
                <w:sz w:val="20"/>
                <w:szCs w:val="20"/>
                <w:lang w:val="es-CO" w:eastAsia="en-US"/>
              </w:rPr>
              <w:t xml:space="preserve">) Servicios financieros y servicios conexos, servicios inmobiliarios y servicios de leasing con el </w:t>
            </w:r>
            <w:r w:rsidR="0097517B">
              <w:rPr>
                <w:rFonts w:ascii="Verdana" w:eastAsiaTheme="minorHAnsi" w:hAnsi="Verdana" w:cs="Arial"/>
                <w:sz w:val="20"/>
                <w:szCs w:val="20"/>
                <w:lang w:val="es-CO" w:eastAsia="en-US"/>
              </w:rPr>
              <w:t>51</w:t>
            </w:r>
            <w:r w:rsidR="00552C27">
              <w:rPr>
                <w:rFonts w:ascii="Verdana" w:eastAsiaTheme="minorHAnsi" w:hAnsi="Verdana" w:cs="Arial"/>
                <w:sz w:val="20"/>
                <w:szCs w:val="20"/>
                <w:lang w:val="es-CO" w:eastAsia="en-US"/>
              </w:rPr>
              <w:t>,</w:t>
            </w:r>
            <w:r w:rsidR="0097517B">
              <w:rPr>
                <w:rFonts w:ascii="Verdana" w:eastAsiaTheme="minorHAnsi" w:hAnsi="Verdana" w:cs="Arial"/>
                <w:sz w:val="20"/>
                <w:szCs w:val="20"/>
                <w:lang w:val="es-CO" w:eastAsia="en-US"/>
              </w:rPr>
              <w:t>11</w:t>
            </w:r>
            <w:r w:rsidR="00890AD3" w:rsidRPr="00890AD3">
              <w:rPr>
                <w:rFonts w:ascii="Verdana" w:eastAsiaTheme="minorHAnsi" w:hAnsi="Verdana" w:cs="Arial"/>
                <w:sz w:val="20"/>
                <w:szCs w:val="20"/>
                <w:lang w:val="es-CO" w:eastAsia="en-US"/>
              </w:rPr>
              <w:t xml:space="preserve">%; </w:t>
            </w:r>
            <w:r>
              <w:rPr>
                <w:rFonts w:ascii="Verdana" w:eastAsiaTheme="minorHAnsi" w:hAnsi="Verdana" w:cs="Arial"/>
                <w:sz w:val="20"/>
                <w:szCs w:val="20"/>
                <w:lang w:val="es-CO" w:eastAsia="en-US"/>
              </w:rPr>
              <w:t>6</w:t>
            </w:r>
            <w:r w:rsidR="00890AD3" w:rsidRPr="00890AD3">
              <w:rPr>
                <w:rFonts w:ascii="Verdana" w:eastAsiaTheme="minorHAnsi" w:hAnsi="Verdana" w:cs="Arial"/>
                <w:sz w:val="20"/>
                <w:szCs w:val="20"/>
                <w:lang w:val="es-CO" w:eastAsia="en-US"/>
              </w:rPr>
              <w:t xml:space="preserve">) Servicios prestados a las empresas y servicios de producción con el </w:t>
            </w:r>
            <w:r w:rsidR="0097517B">
              <w:rPr>
                <w:rFonts w:ascii="Verdana" w:eastAsiaTheme="minorHAnsi" w:hAnsi="Verdana" w:cs="Arial"/>
                <w:sz w:val="20"/>
                <w:szCs w:val="20"/>
                <w:lang w:val="es-CO" w:eastAsia="en-US"/>
              </w:rPr>
              <w:t>34,30</w:t>
            </w:r>
            <w:r>
              <w:rPr>
                <w:rFonts w:ascii="Verdana" w:eastAsiaTheme="minorHAnsi" w:hAnsi="Verdana" w:cs="Arial"/>
                <w:sz w:val="20"/>
                <w:szCs w:val="20"/>
                <w:lang w:val="es-CO" w:eastAsia="en-US"/>
              </w:rPr>
              <w:t>%;7</w:t>
            </w:r>
            <w:r w:rsidR="00890AD3" w:rsidRPr="00890AD3">
              <w:rPr>
                <w:rFonts w:ascii="Verdana" w:eastAsiaTheme="minorHAnsi" w:hAnsi="Verdana" w:cs="Arial"/>
                <w:sz w:val="20"/>
                <w:szCs w:val="20"/>
                <w:lang w:val="es-CO" w:eastAsia="en-US"/>
              </w:rPr>
              <w:t>) Servicios para la comunidad, sociales y personales con el 0,</w:t>
            </w:r>
            <w:r w:rsidR="0097517B">
              <w:rPr>
                <w:rFonts w:ascii="Verdana" w:eastAsiaTheme="minorHAnsi" w:hAnsi="Verdana" w:cs="Arial"/>
                <w:sz w:val="20"/>
                <w:szCs w:val="20"/>
                <w:lang w:val="es-CO" w:eastAsia="en-US"/>
              </w:rPr>
              <w:t>90</w:t>
            </w:r>
            <w:r>
              <w:rPr>
                <w:rFonts w:ascii="Verdana" w:eastAsiaTheme="minorHAnsi" w:hAnsi="Verdana" w:cs="Arial"/>
                <w:sz w:val="20"/>
                <w:szCs w:val="20"/>
                <w:lang w:val="es-CO" w:eastAsia="en-US"/>
              </w:rPr>
              <w:t>%;8</w:t>
            </w:r>
            <w:r w:rsidR="00890AD3" w:rsidRPr="00890AD3">
              <w:rPr>
                <w:rFonts w:ascii="Verdana" w:eastAsiaTheme="minorHAnsi" w:hAnsi="Verdana" w:cs="Arial"/>
                <w:sz w:val="20"/>
                <w:szCs w:val="20"/>
                <w:lang w:val="es-CO" w:eastAsia="en-US"/>
              </w:rPr>
              <w:t xml:space="preserve">) viáticos de los funcionarios en comisión con el </w:t>
            </w:r>
            <w:r>
              <w:rPr>
                <w:rFonts w:ascii="Verdana" w:eastAsiaTheme="minorHAnsi" w:hAnsi="Verdana" w:cs="Arial"/>
                <w:sz w:val="20"/>
                <w:szCs w:val="20"/>
                <w:lang w:val="es-CO" w:eastAsia="en-US"/>
              </w:rPr>
              <w:t>3</w:t>
            </w:r>
            <w:r w:rsidR="0097517B">
              <w:rPr>
                <w:rFonts w:ascii="Verdana" w:eastAsiaTheme="minorHAnsi" w:hAnsi="Verdana" w:cs="Arial"/>
                <w:sz w:val="20"/>
                <w:szCs w:val="20"/>
                <w:lang w:val="es-CO" w:eastAsia="en-US"/>
              </w:rPr>
              <w:t>,89</w:t>
            </w:r>
            <w:r w:rsidR="00890AD3" w:rsidRPr="00890AD3">
              <w:rPr>
                <w:rFonts w:ascii="Verdana" w:eastAsiaTheme="minorHAnsi" w:hAnsi="Verdana" w:cs="Arial"/>
                <w:sz w:val="20"/>
                <w:szCs w:val="20"/>
                <w:lang w:val="es-CO" w:eastAsia="en-US"/>
              </w:rPr>
              <w:t>%.</w:t>
            </w:r>
          </w:p>
          <w:p w:rsidR="00890AD3" w:rsidRPr="00890AD3" w:rsidRDefault="00890AD3" w:rsidP="00890AD3">
            <w:pPr>
              <w:pStyle w:val="Prrafodelista"/>
              <w:jc w:val="both"/>
              <w:rPr>
                <w:rFonts w:ascii="Verdana" w:eastAsiaTheme="minorHAnsi" w:hAnsi="Verdana" w:cs="Arial"/>
                <w:sz w:val="20"/>
                <w:szCs w:val="20"/>
                <w:lang w:val="es-CO" w:eastAsia="en-US"/>
              </w:rPr>
            </w:pPr>
          </w:p>
          <w:p w:rsidR="00123DEA" w:rsidRPr="00890AD3" w:rsidRDefault="00123DEA" w:rsidP="00693615">
            <w:pPr>
              <w:jc w:val="both"/>
              <w:rPr>
                <w:rFonts w:ascii="Verdana" w:eastAsiaTheme="minorHAnsi" w:hAnsi="Verdana" w:cs="Arial"/>
                <w:sz w:val="20"/>
                <w:szCs w:val="20"/>
                <w:lang w:val="es-CO" w:eastAsia="en-US"/>
              </w:rPr>
            </w:pPr>
          </w:p>
        </w:tc>
      </w:tr>
    </w:tbl>
    <w:p w:rsidR="00873972" w:rsidRPr="00445E9A" w:rsidRDefault="00873972" w:rsidP="00B41CB3">
      <w:pPr>
        <w:rPr>
          <w:rFonts w:ascii="Verdana" w:hAnsi="Verdana"/>
          <w:b/>
          <w:sz w:val="20"/>
          <w:szCs w:val="20"/>
        </w:rPr>
      </w:pPr>
    </w:p>
    <w:p w:rsidR="003E138E" w:rsidRDefault="003E138E" w:rsidP="00B41CB3">
      <w:pPr>
        <w:rPr>
          <w:rFonts w:ascii="Verdana" w:hAnsi="Verdana"/>
          <w:b/>
          <w:sz w:val="22"/>
          <w:szCs w:val="20"/>
        </w:rPr>
      </w:pPr>
    </w:p>
    <w:p w:rsidR="003E138E" w:rsidRDefault="003E138E" w:rsidP="00B41CB3">
      <w:pPr>
        <w:rPr>
          <w:rFonts w:ascii="Verdana" w:hAnsi="Verdana"/>
          <w:b/>
          <w:sz w:val="22"/>
          <w:szCs w:val="20"/>
        </w:rPr>
      </w:pPr>
    </w:p>
    <w:p w:rsidR="00873972" w:rsidRPr="00470875" w:rsidRDefault="00873972" w:rsidP="00B41CB3">
      <w:pPr>
        <w:rPr>
          <w:rFonts w:ascii="Verdana" w:hAnsi="Verdana"/>
          <w:b/>
          <w:sz w:val="22"/>
          <w:szCs w:val="20"/>
        </w:rPr>
      </w:pPr>
      <w:r w:rsidRPr="00445E9A">
        <w:rPr>
          <w:rFonts w:ascii="Verdana" w:hAnsi="Verdana"/>
          <w:b/>
          <w:sz w:val="22"/>
          <w:szCs w:val="20"/>
        </w:rPr>
        <w:t>Transferencias Corrientes</w:t>
      </w:r>
    </w:p>
    <w:tbl>
      <w:tblPr>
        <w:tblStyle w:val="Tablaconcuadrcula"/>
        <w:tblW w:w="0" w:type="auto"/>
        <w:tblLook w:val="04A0" w:firstRow="1" w:lastRow="0" w:firstColumn="1" w:lastColumn="0" w:noHBand="0" w:noVBand="1"/>
      </w:tblPr>
      <w:tblGrid>
        <w:gridCol w:w="6638"/>
        <w:gridCol w:w="6640"/>
      </w:tblGrid>
      <w:tr w:rsidR="003F2322" w:rsidRPr="003A4A1F" w:rsidTr="003F2322">
        <w:tc>
          <w:tcPr>
            <w:tcW w:w="6638" w:type="dxa"/>
          </w:tcPr>
          <w:p w:rsidR="003F2322" w:rsidRPr="00470875" w:rsidRDefault="003F2322" w:rsidP="00B41CB3">
            <w:pPr>
              <w:jc w:val="center"/>
              <w:rPr>
                <w:rFonts w:ascii="Verdana" w:hAnsi="Verdana"/>
                <w:b/>
                <w:sz w:val="22"/>
                <w:szCs w:val="20"/>
              </w:rPr>
            </w:pPr>
            <w:r w:rsidRPr="00470875">
              <w:rPr>
                <w:rFonts w:ascii="Verdana" w:hAnsi="Verdana"/>
                <w:b/>
                <w:sz w:val="22"/>
                <w:szCs w:val="20"/>
              </w:rPr>
              <w:t>Compromisos</w:t>
            </w:r>
          </w:p>
        </w:tc>
        <w:tc>
          <w:tcPr>
            <w:tcW w:w="6640" w:type="dxa"/>
          </w:tcPr>
          <w:p w:rsidR="003F2322" w:rsidRPr="00470875" w:rsidRDefault="003F2322" w:rsidP="00B41CB3">
            <w:pPr>
              <w:jc w:val="center"/>
              <w:rPr>
                <w:rFonts w:ascii="Verdana" w:hAnsi="Verdana"/>
                <w:b/>
                <w:sz w:val="22"/>
                <w:szCs w:val="20"/>
              </w:rPr>
            </w:pPr>
            <w:r w:rsidRPr="006E5A8B">
              <w:rPr>
                <w:rFonts w:ascii="Verdana" w:hAnsi="Verdana"/>
                <w:b/>
                <w:sz w:val="22"/>
                <w:szCs w:val="20"/>
              </w:rPr>
              <w:t>Obligaciones</w:t>
            </w:r>
          </w:p>
        </w:tc>
      </w:tr>
      <w:tr w:rsidR="00873972" w:rsidRPr="003A4A1F" w:rsidTr="003F2322">
        <w:tc>
          <w:tcPr>
            <w:tcW w:w="6638" w:type="dxa"/>
            <w:vAlign w:val="center"/>
          </w:tcPr>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Ejecución Compromisos / Apropiación Vigente.</w:t>
            </w:r>
          </w:p>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w:t>
            </w:r>
            <w:r w:rsidR="00675E84">
              <w:rPr>
                <w:rFonts w:ascii="Verdana" w:eastAsia="Times New Roman" w:hAnsi="Verdana" w:cs="Times New Roman"/>
                <w:sz w:val="20"/>
                <w:szCs w:val="20"/>
              </w:rPr>
              <w:t>7.308,9</w:t>
            </w:r>
            <w:r w:rsidR="00B539D7">
              <w:rPr>
                <w:rFonts w:ascii="Verdana" w:eastAsia="Times New Roman" w:hAnsi="Verdana" w:cs="Times New Roman"/>
                <w:sz w:val="20"/>
                <w:szCs w:val="20"/>
              </w:rPr>
              <w:t xml:space="preserve"> </w:t>
            </w:r>
            <w:r w:rsidRPr="00470875">
              <w:rPr>
                <w:rFonts w:ascii="Verdana" w:eastAsia="Times New Roman" w:hAnsi="Verdana" w:cs="Times New Roman"/>
                <w:sz w:val="20"/>
                <w:szCs w:val="20"/>
              </w:rPr>
              <w:t>/</w:t>
            </w:r>
            <w:r w:rsidR="00A7534B" w:rsidRPr="00470875">
              <w:rPr>
                <w:rFonts w:ascii="Verdana" w:eastAsia="Times New Roman" w:hAnsi="Verdana" w:cs="Times New Roman"/>
                <w:sz w:val="20"/>
                <w:szCs w:val="20"/>
              </w:rPr>
              <w:t xml:space="preserve"> 14.964,0 </w:t>
            </w:r>
            <w:r w:rsidRPr="00470875">
              <w:rPr>
                <w:rFonts w:ascii="Verdana" w:eastAsia="Times New Roman" w:hAnsi="Verdana" w:cs="Times New Roman"/>
                <w:sz w:val="20"/>
                <w:szCs w:val="20"/>
              </w:rPr>
              <w:t xml:space="preserve">= </w:t>
            </w:r>
            <w:r w:rsidR="00675E84">
              <w:rPr>
                <w:rFonts w:ascii="Verdana" w:eastAsia="Times New Roman" w:hAnsi="Verdana" w:cs="Times New Roman"/>
                <w:sz w:val="20"/>
                <w:szCs w:val="20"/>
              </w:rPr>
              <w:t>48,84</w:t>
            </w:r>
            <w:r w:rsidRPr="00470875">
              <w:rPr>
                <w:rFonts w:ascii="Verdana" w:eastAsia="Times New Roman" w:hAnsi="Verdana" w:cs="Times New Roman"/>
                <w:sz w:val="20"/>
                <w:szCs w:val="20"/>
              </w:rPr>
              <w:t>%.</w:t>
            </w:r>
          </w:p>
          <w:p w:rsidR="00265D9B" w:rsidRPr="00470875" w:rsidRDefault="00265D9B" w:rsidP="00265D9B">
            <w:pPr>
              <w:jc w:val="both"/>
              <w:rPr>
                <w:rFonts w:ascii="Verdana" w:eastAsia="Times New Roman" w:hAnsi="Verdana" w:cs="Times New Roman"/>
                <w:sz w:val="20"/>
                <w:szCs w:val="20"/>
              </w:rPr>
            </w:pPr>
          </w:p>
          <w:p w:rsidR="001F41E7" w:rsidRDefault="00265D9B" w:rsidP="001F41E7">
            <w:pPr>
              <w:jc w:val="both"/>
              <w:rPr>
                <w:rFonts w:ascii="Verdana" w:hAnsi="Verdana" w:cs="Arial"/>
                <w:b/>
                <w:sz w:val="20"/>
                <w:szCs w:val="20"/>
              </w:rPr>
            </w:pPr>
            <w:r w:rsidRPr="00B539D7">
              <w:rPr>
                <w:rFonts w:ascii="Verdana" w:eastAsia="Times New Roman" w:hAnsi="Verdana" w:cs="Times New Roman"/>
                <w:sz w:val="20"/>
                <w:szCs w:val="20"/>
              </w:rPr>
              <w:t xml:space="preserve">Se </w:t>
            </w:r>
            <w:r w:rsidR="00FF77F9" w:rsidRPr="00B539D7">
              <w:rPr>
                <w:rFonts w:ascii="Verdana" w:eastAsia="Times New Roman" w:hAnsi="Verdana" w:cs="Times New Roman"/>
                <w:sz w:val="20"/>
                <w:szCs w:val="20"/>
              </w:rPr>
              <w:t>ejecutaron</w:t>
            </w:r>
            <w:r w:rsidRPr="00B539D7">
              <w:rPr>
                <w:rFonts w:ascii="Verdana" w:eastAsia="Times New Roman" w:hAnsi="Verdana" w:cs="Times New Roman"/>
                <w:sz w:val="20"/>
                <w:szCs w:val="20"/>
              </w:rPr>
              <w:t xml:space="preserve"> recursos por valor de </w:t>
            </w:r>
            <w:r w:rsidR="001F41E7">
              <w:rPr>
                <w:rFonts w:ascii="Verdana" w:eastAsia="Times New Roman" w:hAnsi="Verdana" w:cs="Times New Roman"/>
                <w:sz w:val="20"/>
                <w:szCs w:val="20"/>
              </w:rPr>
              <w:t>7.308,9</w:t>
            </w:r>
            <w:r w:rsidR="00771EB0" w:rsidRPr="00B539D7">
              <w:rPr>
                <w:rFonts w:ascii="Verdana" w:eastAsia="Times New Roman" w:hAnsi="Verdana" w:cs="Times New Roman"/>
                <w:sz w:val="20"/>
                <w:szCs w:val="20"/>
              </w:rPr>
              <w:t xml:space="preserve"> millones equivalentes al </w:t>
            </w:r>
            <w:r w:rsidR="001F41E7">
              <w:rPr>
                <w:rFonts w:ascii="Verdana" w:eastAsia="Times New Roman" w:hAnsi="Verdana" w:cs="Times New Roman"/>
                <w:sz w:val="20"/>
                <w:szCs w:val="20"/>
              </w:rPr>
              <w:t>48,84</w:t>
            </w:r>
            <w:r w:rsidRPr="00B539D7">
              <w:rPr>
                <w:rFonts w:ascii="Verdana" w:eastAsia="Times New Roman" w:hAnsi="Verdana" w:cs="Times New Roman"/>
                <w:sz w:val="20"/>
                <w:szCs w:val="20"/>
              </w:rPr>
              <w:t>% de la apropiac</w:t>
            </w:r>
            <w:r w:rsidR="00FF77F9" w:rsidRPr="00B539D7">
              <w:rPr>
                <w:rFonts w:ascii="Verdana" w:eastAsia="Times New Roman" w:hAnsi="Verdana" w:cs="Times New Roman"/>
                <w:sz w:val="20"/>
                <w:szCs w:val="20"/>
              </w:rPr>
              <w:t>ión</w:t>
            </w:r>
            <w:r w:rsidR="004E4823">
              <w:rPr>
                <w:rFonts w:ascii="Verdana" w:eastAsia="Times New Roman" w:hAnsi="Verdana" w:cs="Times New Roman"/>
                <w:sz w:val="20"/>
                <w:szCs w:val="20"/>
              </w:rPr>
              <w:t xml:space="preserve"> de transferencias corrientes</w:t>
            </w:r>
            <w:r w:rsidR="00FF77F9" w:rsidRPr="00B539D7">
              <w:rPr>
                <w:rFonts w:ascii="Verdana" w:eastAsia="Times New Roman" w:hAnsi="Verdana" w:cs="Times New Roman"/>
                <w:sz w:val="20"/>
                <w:szCs w:val="20"/>
              </w:rPr>
              <w:t xml:space="preserve">, frente a una meta del </w:t>
            </w:r>
            <w:r w:rsidR="001F41E7">
              <w:rPr>
                <w:rFonts w:ascii="Verdana" w:eastAsia="Times New Roman" w:hAnsi="Verdana" w:cs="Times New Roman"/>
                <w:sz w:val="20"/>
                <w:szCs w:val="20"/>
              </w:rPr>
              <w:t>20,37</w:t>
            </w:r>
            <w:r w:rsidR="0016603E" w:rsidRPr="00B539D7">
              <w:rPr>
                <w:rFonts w:ascii="Verdana" w:eastAsia="Times New Roman" w:hAnsi="Verdana" w:cs="Times New Roman"/>
                <w:sz w:val="20"/>
                <w:szCs w:val="20"/>
              </w:rPr>
              <w:t xml:space="preserve">%, </w:t>
            </w:r>
            <w:r w:rsidR="006C7CCE">
              <w:rPr>
                <w:rFonts w:ascii="Verdana" w:eastAsia="Times New Roman" w:hAnsi="Verdana" w:cs="Times New Roman"/>
                <w:sz w:val="20"/>
                <w:szCs w:val="20"/>
              </w:rPr>
              <w:t>generando</w:t>
            </w:r>
            <w:r w:rsidR="00B539D7">
              <w:rPr>
                <w:rFonts w:ascii="Verdana" w:eastAsia="Times New Roman" w:hAnsi="Verdana" w:cs="Times New Roman"/>
                <w:sz w:val="20"/>
                <w:szCs w:val="20"/>
              </w:rPr>
              <w:t xml:space="preserve"> </w:t>
            </w:r>
            <w:r w:rsidR="003E138E" w:rsidRPr="009C75C1">
              <w:rPr>
                <w:rFonts w:ascii="Verdana" w:hAnsi="Verdana" w:cs="Arial"/>
                <w:sz w:val="20"/>
                <w:szCs w:val="20"/>
              </w:rPr>
              <w:t xml:space="preserve">Superávit  en la ejecución de transferencias corrientes por </w:t>
            </w:r>
            <w:r w:rsidR="001F41E7">
              <w:rPr>
                <w:rFonts w:ascii="Verdana" w:hAnsi="Verdana" w:cs="Arial"/>
                <w:sz w:val="20"/>
                <w:szCs w:val="20"/>
              </w:rPr>
              <w:t>4.260,0</w:t>
            </w:r>
            <w:r w:rsidR="003E138E" w:rsidRPr="009C75C1">
              <w:rPr>
                <w:rFonts w:ascii="Verdana" w:hAnsi="Verdana" w:cs="Arial"/>
                <w:sz w:val="20"/>
                <w:szCs w:val="20"/>
              </w:rPr>
              <w:t xml:space="preserve"> </w:t>
            </w:r>
            <w:r w:rsidR="003E138E" w:rsidRPr="009C75C1">
              <w:rPr>
                <w:rFonts w:ascii="Verdana" w:hAnsi="Verdana" w:cs="Arial"/>
                <w:sz w:val="20"/>
                <w:szCs w:val="20"/>
              </w:rPr>
              <w:lastRenderedPageBreak/>
              <w:t>millones, discriminado así:</w:t>
            </w:r>
            <w:r w:rsidR="001F41E7" w:rsidRPr="009C75C1">
              <w:rPr>
                <w:rFonts w:ascii="Verdana" w:hAnsi="Verdana" w:cs="Arial"/>
                <w:sz w:val="20"/>
                <w:szCs w:val="20"/>
              </w:rPr>
              <w:t xml:space="preserve"> i) </w:t>
            </w:r>
            <w:r w:rsidR="001F41E7">
              <w:rPr>
                <w:rFonts w:ascii="Verdana" w:hAnsi="Verdana" w:cs="Arial"/>
                <w:sz w:val="20"/>
                <w:szCs w:val="20"/>
              </w:rPr>
              <w:t>S</w:t>
            </w:r>
            <w:r w:rsidR="001F41E7" w:rsidRPr="0049603A">
              <w:rPr>
                <w:rFonts w:ascii="Verdana" w:hAnsi="Verdana" w:cs="Arial"/>
                <w:sz w:val="20"/>
                <w:szCs w:val="20"/>
              </w:rPr>
              <w:t xml:space="preserve">uperávit de </w:t>
            </w:r>
            <w:r w:rsidR="001F41E7">
              <w:rPr>
                <w:rFonts w:ascii="Verdana" w:hAnsi="Verdana" w:cs="Arial"/>
                <w:sz w:val="20"/>
                <w:szCs w:val="20"/>
              </w:rPr>
              <w:t>4.260,1</w:t>
            </w:r>
            <w:r w:rsidR="001F41E7" w:rsidRPr="0049603A">
              <w:rPr>
                <w:rFonts w:ascii="Verdana" w:hAnsi="Verdana" w:cs="Arial"/>
                <w:sz w:val="20"/>
                <w:szCs w:val="20"/>
              </w:rPr>
              <w:t xml:space="preserve"> millones de recursos provenientes del FOCAI, </w:t>
            </w:r>
            <w:r w:rsidR="001F41E7">
              <w:rPr>
                <w:rFonts w:ascii="Verdana" w:hAnsi="Verdana" w:cs="Arial"/>
                <w:sz w:val="20"/>
                <w:szCs w:val="20"/>
              </w:rPr>
              <w:t>debido que se suscribió el contrato de p</w:t>
            </w:r>
            <w:r w:rsidR="001F41E7" w:rsidRPr="00274D3C">
              <w:rPr>
                <w:rFonts w:ascii="Verdana" w:hAnsi="Verdana" w:cs="Arial"/>
                <w:sz w:val="20"/>
                <w:szCs w:val="20"/>
              </w:rPr>
              <w:t>restación de servicios para el fortalecimiento de capacidades en técnicas agropecuarias a campesinos de algunos países del Proyecto Mesoamérica</w:t>
            </w:r>
            <w:r w:rsidR="001F41E7">
              <w:rPr>
                <w:rFonts w:ascii="Verdana" w:hAnsi="Verdana" w:cs="Arial"/>
                <w:sz w:val="20"/>
                <w:szCs w:val="20"/>
              </w:rPr>
              <w:t xml:space="preserve"> con FUNDAPANACA, y el contrato con ALGOAP SAS para </w:t>
            </w:r>
            <w:r w:rsidR="001F41E7" w:rsidRPr="00274D3C">
              <w:rPr>
                <w:rFonts w:ascii="Verdana" w:hAnsi="Verdana" w:cs="Arial"/>
                <w:sz w:val="20"/>
                <w:szCs w:val="20"/>
              </w:rPr>
              <w:t>servicios de traducción e interpretación simultánea, consecutiva, susurrada y de documentos</w:t>
            </w:r>
            <w:r w:rsidR="001F41E7">
              <w:rPr>
                <w:rFonts w:ascii="Verdana" w:hAnsi="Verdana" w:cs="Arial"/>
                <w:sz w:val="20"/>
                <w:szCs w:val="20"/>
              </w:rPr>
              <w:t xml:space="preserve"> y se realizó una asistencia humanitaria con destino al Gobierno de La Republica de Honduras, </w:t>
            </w:r>
            <w:r w:rsidR="001F41E7" w:rsidRPr="00007EA0">
              <w:rPr>
                <w:rFonts w:ascii="Verdana" w:hAnsi="Verdana" w:cs="Arial"/>
                <w:sz w:val="20"/>
                <w:szCs w:val="20"/>
              </w:rPr>
              <w:t xml:space="preserve"> </w:t>
            </w:r>
            <w:r w:rsidR="001F41E7">
              <w:rPr>
                <w:rFonts w:ascii="Verdana" w:hAnsi="Verdana" w:cs="Arial"/>
                <w:sz w:val="20"/>
                <w:szCs w:val="20"/>
              </w:rPr>
              <w:t xml:space="preserve">se </w:t>
            </w:r>
            <w:r w:rsidR="001F41E7" w:rsidRPr="0049603A">
              <w:rPr>
                <w:rFonts w:ascii="Verdana" w:hAnsi="Verdana" w:cs="Arial"/>
                <w:sz w:val="20"/>
                <w:szCs w:val="20"/>
              </w:rPr>
              <w:t xml:space="preserve">cumplió la meta; ii) </w:t>
            </w:r>
            <w:r w:rsidR="001F41E7">
              <w:rPr>
                <w:rFonts w:ascii="Verdana" w:hAnsi="Verdana" w:cs="Arial"/>
                <w:sz w:val="20"/>
                <w:szCs w:val="20"/>
              </w:rPr>
              <w:t>se presentó déficit de 100 mil pesos</w:t>
            </w:r>
            <w:r w:rsidR="001F41E7" w:rsidRPr="0049603A">
              <w:rPr>
                <w:rFonts w:ascii="Verdana" w:hAnsi="Verdana" w:cs="Arial"/>
                <w:sz w:val="20"/>
                <w:szCs w:val="20"/>
              </w:rPr>
              <w:t xml:space="preserve">, </w:t>
            </w:r>
            <w:r w:rsidR="001F41E7">
              <w:rPr>
                <w:rFonts w:ascii="Verdana" w:hAnsi="Verdana" w:cs="Arial"/>
                <w:sz w:val="20"/>
                <w:szCs w:val="20"/>
              </w:rPr>
              <w:t>en incapacidades y licencias de maternidad este rubro varía según las incapacidades y licencias que radican el talento humano</w:t>
            </w:r>
            <w:r w:rsidR="001F41E7">
              <w:rPr>
                <w:rFonts w:ascii="Verdana" w:hAnsi="Verdana" w:cs="Arial"/>
                <w:b/>
                <w:sz w:val="20"/>
                <w:szCs w:val="20"/>
              </w:rPr>
              <w:t>.</w:t>
            </w:r>
          </w:p>
          <w:p w:rsidR="003C58A7" w:rsidRPr="00B539D7" w:rsidRDefault="003C58A7" w:rsidP="006C7CCE">
            <w:pPr>
              <w:jc w:val="both"/>
              <w:rPr>
                <w:rFonts w:ascii="Verdana" w:hAnsi="Verdana"/>
                <w:iCs/>
                <w:sz w:val="20"/>
                <w:szCs w:val="20"/>
                <w:lang w:val="es-ES"/>
              </w:rPr>
            </w:pPr>
          </w:p>
        </w:tc>
        <w:tc>
          <w:tcPr>
            <w:tcW w:w="6640" w:type="dxa"/>
            <w:vAlign w:val="center"/>
          </w:tcPr>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lastRenderedPageBreak/>
              <w:t>Indicador:</w:t>
            </w:r>
            <w:r w:rsidRPr="00470875">
              <w:rPr>
                <w:rFonts w:ascii="Verdana" w:eastAsia="Times New Roman" w:hAnsi="Verdana" w:cs="Times New Roman"/>
                <w:sz w:val="20"/>
                <w:szCs w:val="20"/>
              </w:rPr>
              <w:t xml:space="preserve"> Ejecución Obligaciones / Apropiación Vigente.</w:t>
            </w:r>
          </w:p>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w:t>
            </w:r>
            <w:r w:rsidR="000E0C0F">
              <w:rPr>
                <w:rFonts w:ascii="Verdana" w:eastAsia="Times New Roman" w:hAnsi="Verdana" w:cs="Times New Roman"/>
                <w:sz w:val="20"/>
                <w:szCs w:val="20"/>
              </w:rPr>
              <w:t>1.742,0,</w:t>
            </w:r>
            <w:r w:rsidR="00B539D7">
              <w:rPr>
                <w:rFonts w:ascii="Verdana" w:eastAsia="Times New Roman" w:hAnsi="Verdana" w:cs="Times New Roman"/>
                <w:sz w:val="20"/>
                <w:szCs w:val="20"/>
              </w:rPr>
              <w:t xml:space="preserve"> </w:t>
            </w:r>
            <w:r w:rsidRPr="00470875">
              <w:rPr>
                <w:rFonts w:ascii="Verdana" w:eastAsia="Times New Roman" w:hAnsi="Verdana" w:cs="Times New Roman"/>
                <w:sz w:val="20"/>
                <w:szCs w:val="20"/>
              </w:rPr>
              <w:t xml:space="preserve">/ </w:t>
            </w:r>
            <w:r w:rsidR="00A7534B" w:rsidRPr="00470875">
              <w:rPr>
                <w:rFonts w:ascii="Verdana" w:eastAsia="Times New Roman" w:hAnsi="Verdana" w:cs="Times New Roman"/>
                <w:sz w:val="20"/>
                <w:szCs w:val="20"/>
              </w:rPr>
              <w:t xml:space="preserve">14.964,0 </w:t>
            </w:r>
            <w:r w:rsidRPr="00470875">
              <w:rPr>
                <w:rFonts w:ascii="Verdana" w:eastAsia="Times New Roman" w:hAnsi="Verdana" w:cs="Times New Roman"/>
                <w:sz w:val="20"/>
                <w:szCs w:val="20"/>
              </w:rPr>
              <w:t xml:space="preserve">= </w:t>
            </w:r>
            <w:r w:rsidR="00FE4B89">
              <w:rPr>
                <w:rFonts w:ascii="Verdana" w:eastAsia="Times New Roman" w:hAnsi="Verdana" w:cs="Times New Roman"/>
                <w:sz w:val="20"/>
                <w:szCs w:val="20"/>
              </w:rPr>
              <w:t>5,28</w:t>
            </w:r>
            <w:r w:rsidRPr="00470875">
              <w:rPr>
                <w:rFonts w:ascii="Verdana" w:eastAsia="Times New Roman" w:hAnsi="Verdana" w:cs="Times New Roman"/>
                <w:sz w:val="20"/>
                <w:szCs w:val="20"/>
              </w:rPr>
              <w:t>%.</w:t>
            </w:r>
          </w:p>
          <w:p w:rsidR="00265D9B" w:rsidRPr="003A4A1F" w:rsidRDefault="00265D9B" w:rsidP="00265D9B">
            <w:pPr>
              <w:jc w:val="both"/>
              <w:rPr>
                <w:rFonts w:ascii="Verdana" w:eastAsia="Times New Roman" w:hAnsi="Verdana" w:cs="Times New Roman"/>
                <w:sz w:val="20"/>
                <w:szCs w:val="20"/>
                <w:highlight w:val="yellow"/>
              </w:rPr>
            </w:pPr>
          </w:p>
          <w:p w:rsidR="00243D5E" w:rsidRPr="003A4A1F" w:rsidRDefault="009A4921" w:rsidP="00FE4B89">
            <w:pPr>
              <w:jc w:val="both"/>
              <w:rPr>
                <w:rFonts w:ascii="Verdana" w:hAnsi="Verdana"/>
                <w:sz w:val="20"/>
                <w:szCs w:val="20"/>
                <w:highlight w:val="yellow"/>
              </w:rPr>
            </w:pPr>
            <w:r w:rsidRPr="004E4823">
              <w:rPr>
                <w:rFonts w:ascii="Verdana" w:eastAsia="Times New Roman" w:hAnsi="Verdana" w:cs="Times New Roman"/>
                <w:sz w:val="20"/>
                <w:szCs w:val="20"/>
              </w:rPr>
              <w:t>Se presentó</w:t>
            </w:r>
            <w:r w:rsidR="00265D9B" w:rsidRPr="004E4823">
              <w:rPr>
                <w:rFonts w:ascii="Verdana" w:eastAsia="Times New Roman" w:hAnsi="Verdana" w:cs="Times New Roman"/>
                <w:sz w:val="20"/>
                <w:szCs w:val="20"/>
              </w:rPr>
              <w:t xml:space="preserve"> una ejecución de </w:t>
            </w:r>
            <w:r w:rsidR="00FE4B89">
              <w:rPr>
                <w:rFonts w:ascii="Verdana" w:eastAsia="Times New Roman" w:hAnsi="Verdana" w:cs="Times New Roman"/>
                <w:sz w:val="20"/>
                <w:szCs w:val="20"/>
              </w:rPr>
              <w:t>790,1</w:t>
            </w:r>
            <w:r w:rsidR="00265D9B" w:rsidRPr="004E4823">
              <w:rPr>
                <w:rFonts w:ascii="Verdana" w:eastAsia="Times New Roman" w:hAnsi="Verdana" w:cs="Times New Roman"/>
                <w:sz w:val="20"/>
                <w:szCs w:val="20"/>
              </w:rPr>
              <w:t xml:space="preserve"> millones equivalen</w:t>
            </w:r>
            <w:r w:rsidR="00041BCF" w:rsidRPr="004E4823">
              <w:rPr>
                <w:rFonts w:ascii="Verdana" w:eastAsia="Times New Roman" w:hAnsi="Verdana" w:cs="Times New Roman"/>
                <w:sz w:val="20"/>
                <w:szCs w:val="20"/>
              </w:rPr>
              <w:t xml:space="preserve">tes al </w:t>
            </w:r>
            <w:r w:rsidR="000E0C0F">
              <w:rPr>
                <w:rFonts w:ascii="Verdana" w:eastAsia="Times New Roman" w:hAnsi="Verdana" w:cs="Times New Roman"/>
                <w:sz w:val="20"/>
                <w:szCs w:val="20"/>
              </w:rPr>
              <w:t>11,64</w:t>
            </w:r>
            <w:r w:rsidR="00265D9B" w:rsidRPr="004E4823">
              <w:rPr>
                <w:rFonts w:ascii="Verdana" w:eastAsia="Times New Roman" w:hAnsi="Verdana" w:cs="Times New Roman"/>
                <w:sz w:val="20"/>
                <w:szCs w:val="20"/>
              </w:rPr>
              <w:t>% de la apropiación</w:t>
            </w:r>
            <w:r w:rsidR="004E4823">
              <w:rPr>
                <w:rFonts w:ascii="Verdana" w:eastAsia="Times New Roman" w:hAnsi="Verdana" w:cs="Times New Roman"/>
                <w:sz w:val="20"/>
                <w:szCs w:val="20"/>
              </w:rPr>
              <w:t xml:space="preserve"> de transferencias corrientes</w:t>
            </w:r>
            <w:r w:rsidR="00041BCF" w:rsidRPr="004E4823">
              <w:rPr>
                <w:rFonts w:ascii="Verdana" w:eastAsia="Times New Roman" w:hAnsi="Verdana" w:cs="Times New Roman"/>
                <w:sz w:val="20"/>
                <w:szCs w:val="20"/>
              </w:rPr>
              <w:t xml:space="preserve">, frente a una meta del </w:t>
            </w:r>
            <w:r w:rsidR="000E0C0F">
              <w:rPr>
                <w:rFonts w:ascii="Verdana" w:eastAsia="Times New Roman" w:hAnsi="Verdana" w:cs="Times New Roman"/>
                <w:sz w:val="20"/>
                <w:szCs w:val="20"/>
              </w:rPr>
              <w:t>8,19</w:t>
            </w:r>
            <w:r w:rsidRPr="004E4823">
              <w:rPr>
                <w:rFonts w:ascii="Verdana" w:eastAsia="Times New Roman" w:hAnsi="Verdana" w:cs="Times New Roman"/>
                <w:sz w:val="20"/>
                <w:szCs w:val="20"/>
              </w:rPr>
              <w:t>%,</w:t>
            </w:r>
            <w:r w:rsidR="00FE4B89">
              <w:rPr>
                <w:rFonts w:ascii="Verdana" w:hAnsi="Verdana" w:cs="Arial"/>
                <w:sz w:val="20"/>
                <w:szCs w:val="20"/>
                <w:lang w:val="es-CO"/>
              </w:rPr>
              <w:t xml:space="preserve"> </w:t>
            </w:r>
            <w:r w:rsidR="009B6D84">
              <w:rPr>
                <w:rFonts w:ascii="Verdana" w:hAnsi="Verdana" w:cs="Arial"/>
                <w:sz w:val="20"/>
                <w:szCs w:val="20"/>
                <w:lang w:val="es-CO"/>
              </w:rPr>
              <w:t>E</w:t>
            </w:r>
            <w:r w:rsidR="009B6D84" w:rsidRPr="00C55089">
              <w:rPr>
                <w:rFonts w:ascii="Verdana" w:hAnsi="Verdana" w:cs="Arial"/>
                <w:sz w:val="20"/>
                <w:szCs w:val="20"/>
                <w:lang w:val="es-CO"/>
              </w:rPr>
              <w:t>n la ejecución de transferencia</w:t>
            </w:r>
            <w:r w:rsidR="009B6D84">
              <w:rPr>
                <w:rFonts w:ascii="Verdana" w:hAnsi="Verdana" w:cs="Arial"/>
                <w:sz w:val="20"/>
                <w:szCs w:val="20"/>
                <w:lang w:val="es-CO"/>
              </w:rPr>
              <w:t xml:space="preserve">s </w:t>
            </w:r>
            <w:r w:rsidR="009B6D84" w:rsidRPr="00C55089">
              <w:rPr>
                <w:rFonts w:ascii="Verdana" w:hAnsi="Verdana" w:cs="Arial"/>
                <w:sz w:val="20"/>
                <w:szCs w:val="20"/>
                <w:lang w:val="es-CO"/>
              </w:rPr>
              <w:t>corrientes</w:t>
            </w:r>
            <w:r w:rsidR="009B6D84">
              <w:rPr>
                <w:rFonts w:ascii="Verdana" w:hAnsi="Verdana" w:cs="Arial"/>
                <w:sz w:val="20"/>
                <w:szCs w:val="20"/>
                <w:lang w:val="es-CO"/>
              </w:rPr>
              <w:t xml:space="preserve"> se presentó un superávit por 518,6 millones  </w:t>
            </w:r>
            <w:r w:rsidR="009B6D84" w:rsidRPr="00C55089">
              <w:rPr>
                <w:rFonts w:ascii="Verdana" w:hAnsi="Verdana" w:cs="Arial"/>
                <w:sz w:val="20"/>
                <w:szCs w:val="20"/>
                <w:lang w:val="es-CO"/>
              </w:rPr>
              <w:t xml:space="preserve"> en </w:t>
            </w:r>
            <w:r w:rsidR="009B6D84" w:rsidRPr="00C55089">
              <w:rPr>
                <w:rFonts w:ascii="Verdana" w:hAnsi="Verdana" w:cs="Arial"/>
                <w:sz w:val="20"/>
                <w:szCs w:val="20"/>
                <w:lang w:val="es-CO"/>
              </w:rPr>
              <w:lastRenderedPageBreak/>
              <w:t>FOCAI, se cumplió la meta</w:t>
            </w:r>
            <w:r w:rsidR="009B6D84">
              <w:rPr>
                <w:rFonts w:ascii="Verdana" w:hAnsi="Verdana" w:cs="Arial"/>
                <w:sz w:val="20"/>
                <w:szCs w:val="20"/>
                <w:lang w:val="es-CO"/>
              </w:rPr>
              <w:t>,</w:t>
            </w:r>
            <w:r w:rsidR="009B6D84" w:rsidRPr="00C55089">
              <w:rPr>
                <w:rFonts w:ascii="Verdana" w:hAnsi="Verdana" w:cs="Arial"/>
                <w:sz w:val="20"/>
                <w:szCs w:val="20"/>
                <w:lang w:val="es-CO"/>
              </w:rPr>
              <w:t xml:space="preserve"> pero </w:t>
            </w:r>
            <w:r w:rsidR="009B6D84">
              <w:rPr>
                <w:rFonts w:ascii="Verdana" w:hAnsi="Verdana" w:cs="Arial"/>
                <w:sz w:val="20"/>
                <w:szCs w:val="20"/>
                <w:lang w:val="es-CO"/>
              </w:rPr>
              <w:t xml:space="preserve">se </w:t>
            </w:r>
            <w:r w:rsidR="009B6D84" w:rsidRPr="00C55089">
              <w:rPr>
                <w:rFonts w:ascii="Verdana" w:hAnsi="Verdana" w:cs="Arial"/>
                <w:sz w:val="20"/>
                <w:szCs w:val="20"/>
                <w:lang w:val="es-CO"/>
              </w:rPr>
              <w:t>presenta u</w:t>
            </w:r>
            <w:r w:rsidR="009B6D84">
              <w:rPr>
                <w:rFonts w:ascii="Verdana" w:hAnsi="Verdana" w:cs="Arial"/>
                <w:sz w:val="20"/>
                <w:szCs w:val="20"/>
                <w:lang w:val="es-CO"/>
              </w:rPr>
              <w:t>n déficit en incapacidades de 2,2 millones</w:t>
            </w:r>
            <w:r w:rsidR="009B6D84" w:rsidRPr="00C55089">
              <w:rPr>
                <w:rFonts w:ascii="Verdana" w:hAnsi="Verdana" w:cs="Arial"/>
                <w:sz w:val="20"/>
                <w:szCs w:val="20"/>
                <w:lang w:val="es-CO"/>
              </w:rPr>
              <w:t>, debido que este rubro  se afecta cuando  hay novedades de incapacidades radicadas en talento humano.</w:t>
            </w:r>
          </w:p>
        </w:tc>
      </w:tr>
    </w:tbl>
    <w:p w:rsidR="00146E14" w:rsidRDefault="00146E14" w:rsidP="00B41CB3">
      <w:pPr>
        <w:jc w:val="center"/>
        <w:rPr>
          <w:rFonts w:ascii="Verdana" w:hAnsi="Verdana"/>
          <w:b/>
          <w:sz w:val="22"/>
          <w:szCs w:val="20"/>
        </w:rPr>
      </w:pPr>
    </w:p>
    <w:p w:rsidR="0066729B" w:rsidRPr="00396EB5" w:rsidRDefault="0066729B" w:rsidP="00B41CB3">
      <w:pPr>
        <w:jc w:val="center"/>
        <w:rPr>
          <w:rFonts w:ascii="Verdana" w:hAnsi="Verdana"/>
          <w:b/>
          <w:szCs w:val="20"/>
        </w:rPr>
      </w:pPr>
      <w:r w:rsidRPr="00396EB5">
        <w:rPr>
          <w:rFonts w:ascii="Verdana" w:hAnsi="Verdana"/>
          <w:b/>
          <w:szCs w:val="20"/>
        </w:rPr>
        <w:t>Presupuesto de Inversión</w:t>
      </w:r>
    </w:p>
    <w:p w:rsidR="005572D7" w:rsidRPr="004E4823" w:rsidRDefault="005572D7" w:rsidP="00B41CB3">
      <w:pPr>
        <w:jc w:val="center"/>
        <w:rPr>
          <w:rFonts w:ascii="Verdana" w:hAnsi="Verdana"/>
          <w:b/>
          <w:sz w:val="22"/>
          <w:szCs w:val="20"/>
        </w:rPr>
      </w:pPr>
    </w:p>
    <w:tbl>
      <w:tblPr>
        <w:tblStyle w:val="Tablaconcuadrcula"/>
        <w:tblW w:w="0" w:type="auto"/>
        <w:tblLook w:val="04A0" w:firstRow="1" w:lastRow="0" w:firstColumn="1" w:lastColumn="0" w:noHBand="0" w:noVBand="1"/>
      </w:tblPr>
      <w:tblGrid>
        <w:gridCol w:w="6638"/>
        <w:gridCol w:w="6640"/>
      </w:tblGrid>
      <w:tr w:rsidR="003F2322" w:rsidRPr="003A4A1F" w:rsidTr="003F2322">
        <w:tc>
          <w:tcPr>
            <w:tcW w:w="6638" w:type="dxa"/>
          </w:tcPr>
          <w:p w:rsidR="003F2322" w:rsidRPr="004E4823" w:rsidRDefault="003F2322" w:rsidP="00B41CB3">
            <w:pPr>
              <w:jc w:val="center"/>
              <w:rPr>
                <w:rFonts w:ascii="Verdana" w:hAnsi="Verdana"/>
                <w:b/>
                <w:sz w:val="22"/>
                <w:szCs w:val="20"/>
              </w:rPr>
            </w:pPr>
            <w:r w:rsidRPr="004E4823">
              <w:rPr>
                <w:rFonts w:ascii="Verdana" w:hAnsi="Verdana"/>
                <w:b/>
                <w:sz w:val="22"/>
                <w:szCs w:val="20"/>
              </w:rPr>
              <w:t>Compromisos</w:t>
            </w:r>
          </w:p>
        </w:tc>
        <w:tc>
          <w:tcPr>
            <w:tcW w:w="6640" w:type="dxa"/>
          </w:tcPr>
          <w:p w:rsidR="003F2322" w:rsidRPr="00FA79EC" w:rsidRDefault="003F2322" w:rsidP="00B41CB3">
            <w:pPr>
              <w:jc w:val="center"/>
              <w:rPr>
                <w:rFonts w:ascii="Verdana" w:hAnsi="Verdana"/>
                <w:b/>
                <w:sz w:val="22"/>
                <w:szCs w:val="20"/>
              </w:rPr>
            </w:pPr>
            <w:r w:rsidRPr="004B047D">
              <w:rPr>
                <w:rFonts w:ascii="Verdana" w:hAnsi="Verdana"/>
                <w:b/>
                <w:sz w:val="22"/>
                <w:szCs w:val="20"/>
              </w:rPr>
              <w:t>Obligaciones</w:t>
            </w:r>
          </w:p>
        </w:tc>
      </w:tr>
      <w:tr w:rsidR="0066729B" w:rsidRPr="003A4A1F" w:rsidTr="003F2322">
        <w:tc>
          <w:tcPr>
            <w:tcW w:w="6638" w:type="dxa"/>
            <w:vAlign w:val="center"/>
          </w:tcPr>
          <w:p w:rsidR="00265D9B" w:rsidRPr="00FA79EC" w:rsidRDefault="00265D9B" w:rsidP="00265D9B">
            <w:pPr>
              <w:jc w:val="both"/>
              <w:rPr>
                <w:rFonts w:ascii="Verdana" w:hAnsi="Verdana"/>
                <w:sz w:val="20"/>
                <w:szCs w:val="20"/>
              </w:rPr>
            </w:pPr>
            <w:r w:rsidRPr="00FA79EC">
              <w:rPr>
                <w:rFonts w:ascii="Verdana" w:hAnsi="Verdana"/>
                <w:b/>
                <w:sz w:val="20"/>
                <w:szCs w:val="20"/>
              </w:rPr>
              <w:t>Indicador:</w:t>
            </w:r>
            <w:r w:rsidRPr="00FA79EC">
              <w:rPr>
                <w:rFonts w:ascii="Verdana" w:hAnsi="Verdana"/>
                <w:sz w:val="20"/>
                <w:szCs w:val="20"/>
              </w:rPr>
              <w:t xml:space="preserve"> Ejecución Compromisos / Apropiación Vigente.</w:t>
            </w:r>
          </w:p>
          <w:p w:rsidR="00265D9B" w:rsidRPr="00FA79EC" w:rsidRDefault="00265D9B" w:rsidP="00265D9B">
            <w:pPr>
              <w:jc w:val="both"/>
              <w:rPr>
                <w:rFonts w:ascii="Verdana" w:hAnsi="Verdana"/>
                <w:sz w:val="20"/>
                <w:szCs w:val="20"/>
              </w:rPr>
            </w:pPr>
            <w:r w:rsidRPr="00FA79EC">
              <w:rPr>
                <w:rFonts w:ascii="Verdana" w:hAnsi="Verdana"/>
                <w:b/>
                <w:sz w:val="20"/>
                <w:szCs w:val="20"/>
              </w:rPr>
              <w:t>Indicador:</w:t>
            </w:r>
            <w:r w:rsidRPr="00FA79EC">
              <w:rPr>
                <w:rFonts w:ascii="Verdana" w:hAnsi="Verdana"/>
                <w:sz w:val="20"/>
                <w:szCs w:val="20"/>
              </w:rPr>
              <w:t xml:space="preserve"> </w:t>
            </w:r>
            <w:r w:rsidR="003C7F29">
              <w:rPr>
                <w:rFonts w:ascii="Verdana" w:hAnsi="Verdana"/>
                <w:sz w:val="20"/>
                <w:szCs w:val="20"/>
              </w:rPr>
              <w:t>18.915</w:t>
            </w:r>
            <w:r w:rsidR="00F002C9">
              <w:rPr>
                <w:rFonts w:ascii="Verdana" w:hAnsi="Verdana"/>
                <w:sz w:val="20"/>
                <w:szCs w:val="20"/>
              </w:rPr>
              <w:t>,</w:t>
            </w:r>
            <w:r w:rsidR="003C7F29">
              <w:rPr>
                <w:rFonts w:ascii="Verdana" w:hAnsi="Verdana"/>
                <w:sz w:val="20"/>
                <w:szCs w:val="20"/>
              </w:rPr>
              <w:t>2</w:t>
            </w:r>
            <w:r w:rsidR="00CB5599" w:rsidRPr="00FA79EC">
              <w:rPr>
                <w:rFonts w:ascii="Verdana" w:hAnsi="Verdana"/>
                <w:sz w:val="20"/>
                <w:szCs w:val="20"/>
              </w:rPr>
              <w:t xml:space="preserve"> </w:t>
            </w:r>
            <w:r w:rsidRPr="00FA79EC">
              <w:rPr>
                <w:rFonts w:ascii="Verdana" w:hAnsi="Verdana"/>
                <w:sz w:val="20"/>
                <w:szCs w:val="20"/>
              </w:rPr>
              <w:t>/</w:t>
            </w:r>
            <w:r w:rsidR="00CB5599" w:rsidRPr="00FA79EC">
              <w:rPr>
                <w:rFonts w:ascii="Verdana" w:hAnsi="Verdana"/>
                <w:sz w:val="20"/>
                <w:szCs w:val="20"/>
              </w:rPr>
              <w:t xml:space="preserve"> 65.618,1</w:t>
            </w:r>
            <w:r w:rsidRPr="00FA79EC">
              <w:rPr>
                <w:rFonts w:ascii="Verdana" w:hAnsi="Verdana"/>
                <w:sz w:val="20"/>
                <w:szCs w:val="20"/>
              </w:rPr>
              <w:t xml:space="preserve"> = </w:t>
            </w:r>
            <w:r w:rsidR="003C7F29">
              <w:rPr>
                <w:rFonts w:ascii="Verdana" w:hAnsi="Verdana"/>
                <w:sz w:val="20"/>
                <w:szCs w:val="20"/>
              </w:rPr>
              <w:t>28</w:t>
            </w:r>
            <w:r w:rsidR="00C32EE1">
              <w:rPr>
                <w:rFonts w:ascii="Verdana" w:hAnsi="Verdana"/>
                <w:sz w:val="20"/>
                <w:szCs w:val="20"/>
              </w:rPr>
              <w:t>,</w:t>
            </w:r>
            <w:r w:rsidR="003C7F29">
              <w:rPr>
                <w:rFonts w:ascii="Verdana" w:hAnsi="Verdana"/>
                <w:sz w:val="20"/>
                <w:szCs w:val="20"/>
              </w:rPr>
              <w:t>83</w:t>
            </w:r>
            <w:r w:rsidRPr="00FA79EC">
              <w:rPr>
                <w:rFonts w:ascii="Verdana" w:hAnsi="Verdana"/>
                <w:sz w:val="20"/>
                <w:szCs w:val="20"/>
              </w:rPr>
              <w:t>%.</w:t>
            </w:r>
          </w:p>
          <w:p w:rsidR="00265D9B" w:rsidRPr="00FA79EC" w:rsidRDefault="00265D9B" w:rsidP="00265D9B">
            <w:pPr>
              <w:jc w:val="both"/>
              <w:rPr>
                <w:rFonts w:ascii="Verdana" w:hAnsi="Verdana"/>
                <w:sz w:val="20"/>
                <w:szCs w:val="20"/>
              </w:rPr>
            </w:pPr>
          </w:p>
          <w:p w:rsidR="003C7F29" w:rsidRDefault="00265D9B" w:rsidP="003C7F29">
            <w:pPr>
              <w:jc w:val="both"/>
              <w:rPr>
                <w:rFonts w:ascii="Verdana" w:hAnsi="Verdana" w:cs="Arial"/>
                <w:sz w:val="20"/>
                <w:szCs w:val="20"/>
              </w:rPr>
            </w:pPr>
            <w:r w:rsidRPr="00377A56">
              <w:rPr>
                <w:rFonts w:ascii="Verdana" w:hAnsi="Verdana"/>
                <w:sz w:val="20"/>
                <w:szCs w:val="20"/>
              </w:rPr>
              <w:t xml:space="preserve">Se comprometieron recursos por valor de </w:t>
            </w:r>
            <w:r w:rsidR="003C7F29">
              <w:rPr>
                <w:rFonts w:ascii="Verdana" w:hAnsi="Verdana"/>
                <w:sz w:val="20"/>
                <w:szCs w:val="20"/>
              </w:rPr>
              <w:t>18.915,2</w:t>
            </w:r>
            <w:r w:rsidRPr="00377A56">
              <w:rPr>
                <w:rFonts w:ascii="Verdana" w:hAnsi="Verdana"/>
                <w:sz w:val="20"/>
                <w:szCs w:val="20"/>
              </w:rPr>
              <w:t xml:space="preserve"> millones equivalentes al </w:t>
            </w:r>
            <w:r w:rsidR="003C7F29">
              <w:rPr>
                <w:rFonts w:ascii="Verdana" w:hAnsi="Verdana"/>
                <w:sz w:val="20"/>
                <w:szCs w:val="20"/>
              </w:rPr>
              <w:t>28,83</w:t>
            </w:r>
            <w:r w:rsidRPr="00377A56">
              <w:rPr>
                <w:rFonts w:ascii="Verdana" w:hAnsi="Verdana"/>
                <w:sz w:val="20"/>
                <w:szCs w:val="20"/>
              </w:rPr>
              <w:t xml:space="preserve">% de la apropiación en inversión, frente a una meta del </w:t>
            </w:r>
            <w:r w:rsidR="003C7F29">
              <w:rPr>
                <w:rFonts w:ascii="Verdana" w:hAnsi="Verdana"/>
                <w:sz w:val="20"/>
                <w:szCs w:val="20"/>
              </w:rPr>
              <w:t>29,97</w:t>
            </w:r>
            <w:r w:rsidRPr="00377A56">
              <w:rPr>
                <w:rFonts w:ascii="Verdana" w:hAnsi="Verdana"/>
                <w:sz w:val="20"/>
                <w:szCs w:val="20"/>
              </w:rPr>
              <w:t xml:space="preserve">%, </w:t>
            </w:r>
            <w:r w:rsidR="003C7F29">
              <w:rPr>
                <w:rFonts w:ascii="Verdana" w:hAnsi="Verdana" w:cs="Arial"/>
                <w:sz w:val="20"/>
                <w:szCs w:val="20"/>
              </w:rPr>
              <w:t xml:space="preserve">con un </w:t>
            </w:r>
            <w:r w:rsidR="003C7F29" w:rsidRPr="00994555">
              <w:rPr>
                <w:rFonts w:ascii="Verdana" w:hAnsi="Verdana" w:cs="Arial"/>
                <w:sz w:val="20"/>
                <w:szCs w:val="20"/>
              </w:rPr>
              <w:t xml:space="preserve"> </w:t>
            </w:r>
            <w:r w:rsidR="003C7F29">
              <w:rPr>
                <w:rFonts w:ascii="Verdana" w:hAnsi="Verdana" w:cs="Arial"/>
                <w:sz w:val="20"/>
                <w:szCs w:val="20"/>
              </w:rPr>
              <w:t xml:space="preserve">Déficit </w:t>
            </w:r>
            <w:r w:rsidR="003C7F29" w:rsidRPr="00994555">
              <w:rPr>
                <w:rFonts w:ascii="Verdana" w:hAnsi="Verdana" w:cs="Arial"/>
                <w:sz w:val="20"/>
                <w:szCs w:val="20"/>
              </w:rPr>
              <w:t xml:space="preserve">de </w:t>
            </w:r>
            <w:r w:rsidR="003C7F29">
              <w:rPr>
                <w:rFonts w:ascii="Verdana" w:hAnsi="Verdana" w:cs="Arial"/>
                <w:sz w:val="20"/>
                <w:szCs w:val="20"/>
              </w:rPr>
              <w:t>748,0</w:t>
            </w:r>
            <w:r w:rsidR="003C7F29" w:rsidRPr="00994555">
              <w:rPr>
                <w:rFonts w:ascii="Verdana" w:hAnsi="Verdana" w:cs="Arial"/>
                <w:sz w:val="20"/>
                <w:szCs w:val="20"/>
              </w:rPr>
              <w:t xml:space="preserve"> millones</w:t>
            </w:r>
            <w:r w:rsidR="003C7F29">
              <w:rPr>
                <w:rFonts w:ascii="Verdana" w:hAnsi="Verdana" w:cs="Arial"/>
                <w:sz w:val="20"/>
                <w:szCs w:val="20"/>
              </w:rPr>
              <w:t xml:space="preserve">, </w:t>
            </w:r>
            <w:r w:rsidR="003C7F29" w:rsidRPr="00994555">
              <w:rPr>
                <w:rFonts w:ascii="Verdana" w:hAnsi="Verdana" w:cs="Arial"/>
                <w:sz w:val="20"/>
                <w:szCs w:val="20"/>
              </w:rPr>
              <w:t>debido a que</w:t>
            </w:r>
            <w:r w:rsidR="003C7F29">
              <w:rPr>
                <w:rFonts w:ascii="Verdana" w:hAnsi="Verdana" w:cs="Arial"/>
                <w:sz w:val="20"/>
                <w:szCs w:val="20"/>
              </w:rPr>
              <w:t xml:space="preserve"> no se tramitaron todos los contratos que se tenían previstos por el rubro de Contrapartida  y por Fortalecimiento de las Capacidades Tecnológicas, a pesar de presentar déficit</w:t>
            </w:r>
            <w:r w:rsidR="008A2905">
              <w:rPr>
                <w:rFonts w:ascii="Verdana" w:hAnsi="Verdana" w:cs="Arial"/>
                <w:sz w:val="20"/>
                <w:szCs w:val="20"/>
              </w:rPr>
              <w:t xml:space="preserve">, por </w:t>
            </w:r>
            <w:r w:rsidR="003C7F29">
              <w:rPr>
                <w:rFonts w:ascii="Verdana" w:hAnsi="Verdana" w:cs="Arial"/>
                <w:sz w:val="20"/>
                <w:szCs w:val="20"/>
              </w:rPr>
              <w:t xml:space="preserve"> el rubro de Administración de Recursos</w:t>
            </w:r>
            <w:r w:rsidR="00522114">
              <w:rPr>
                <w:rFonts w:ascii="Verdana" w:hAnsi="Verdana" w:cs="Arial"/>
                <w:sz w:val="20"/>
                <w:szCs w:val="20"/>
              </w:rPr>
              <w:t xml:space="preserve"> este</w:t>
            </w:r>
            <w:r w:rsidR="003C7F29">
              <w:rPr>
                <w:rFonts w:ascii="Verdana" w:hAnsi="Verdana" w:cs="Arial"/>
                <w:sz w:val="20"/>
                <w:szCs w:val="20"/>
              </w:rPr>
              <w:t xml:space="preserve"> cumplió con su meta propuesta.</w:t>
            </w:r>
          </w:p>
          <w:p w:rsidR="003C7F29" w:rsidRPr="00B362ED" w:rsidRDefault="003C7F29" w:rsidP="003C7F29">
            <w:pPr>
              <w:jc w:val="both"/>
              <w:rPr>
                <w:rFonts w:ascii="Verdana" w:hAnsi="Verdana" w:cs="Arial"/>
                <w:sz w:val="20"/>
                <w:szCs w:val="20"/>
              </w:rPr>
            </w:pPr>
          </w:p>
          <w:p w:rsidR="00C32EE1" w:rsidRDefault="00C32EE1" w:rsidP="00377A56">
            <w:pPr>
              <w:jc w:val="both"/>
              <w:rPr>
                <w:rFonts w:ascii="Verdana" w:hAnsi="Verdana" w:cs="Arial"/>
                <w:sz w:val="20"/>
                <w:szCs w:val="20"/>
              </w:rPr>
            </w:pPr>
            <w:r w:rsidRPr="00F55472">
              <w:rPr>
                <w:rFonts w:ascii="Verdana" w:hAnsi="Verdana" w:cs="Arial"/>
                <w:sz w:val="20"/>
                <w:szCs w:val="20"/>
              </w:rPr>
              <w:t xml:space="preserve"> </w:t>
            </w:r>
          </w:p>
          <w:p w:rsidR="003C7F29" w:rsidRDefault="003C7F29" w:rsidP="003C7F29">
            <w:pPr>
              <w:jc w:val="both"/>
              <w:rPr>
                <w:rFonts w:ascii="Verdana" w:hAnsi="Verdana" w:cs="Arial"/>
                <w:sz w:val="20"/>
                <w:szCs w:val="20"/>
              </w:rPr>
            </w:pPr>
            <w:r w:rsidRPr="00F55472">
              <w:rPr>
                <w:rFonts w:ascii="Verdana" w:hAnsi="Verdana" w:cs="Arial"/>
                <w:sz w:val="20"/>
                <w:szCs w:val="20"/>
              </w:rPr>
              <w:t>La ejecución de</w:t>
            </w:r>
            <w:r w:rsidRPr="00902BE7">
              <w:rPr>
                <w:rFonts w:ascii="Verdana" w:hAnsi="Verdana" w:cs="Arial"/>
                <w:sz w:val="20"/>
                <w:szCs w:val="20"/>
              </w:rPr>
              <w:t xml:space="preserve"> los gastos de inversión estuvo distribuida así: </w:t>
            </w:r>
          </w:p>
          <w:p w:rsidR="003C7F29" w:rsidRDefault="003C7F29" w:rsidP="003C7F29">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7,00% de la ejecución de inversión, equivalente a 1.323,5 para el contrato con el ICETEX.</w:t>
            </w:r>
          </w:p>
          <w:p w:rsidR="003C7F29" w:rsidRDefault="003C7F29" w:rsidP="003C7F29">
            <w:pPr>
              <w:jc w:val="both"/>
              <w:rPr>
                <w:rFonts w:ascii="Verdana" w:hAnsi="Verdana" w:cs="Arial"/>
                <w:sz w:val="20"/>
                <w:szCs w:val="20"/>
              </w:rPr>
            </w:pPr>
            <w:r>
              <w:rPr>
                <w:rFonts w:ascii="Verdana" w:hAnsi="Verdana" w:cs="Arial"/>
                <w:sz w:val="20"/>
                <w:szCs w:val="20"/>
              </w:rPr>
              <w:lastRenderedPageBreak/>
              <w:t>2)</w:t>
            </w:r>
            <w:r>
              <w:t xml:space="preserve"> I</w:t>
            </w:r>
            <w:r w:rsidRPr="00BD6CAD">
              <w:rPr>
                <w:rFonts w:ascii="Verdana" w:hAnsi="Verdana" w:cs="Arial"/>
                <w:sz w:val="20"/>
                <w:szCs w:val="20"/>
              </w:rPr>
              <w:t>mplementación de proyectos de cooperación internacional no reembolsable con aporte de recursos de contrapartida  nacional</w:t>
            </w:r>
            <w:r>
              <w:rPr>
                <w:rFonts w:ascii="Verdana" w:hAnsi="Verdana" w:cs="Arial"/>
                <w:sz w:val="20"/>
                <w:szCs w:val="20"/>
              </w:rPr>
              <w:t xml:space="preserve"> con el 4,57% de la ejecución de inversión, equivalente a 865,0 millones para los Convenios interadministrativos, con el Hospital local de T</w:t>
            </w:r>
            <w:r w:rsidRPr="00BD6CAD">
              <w:rPr>
                <w:rFonts w:ascii="Verdana" w:hAnsi="Verdana" w:cs="Arial"/>
                <w:sz w:val="20"/>
                <w:szCs w:val="20"/>
              </w:rPr>
              <w:t>auramena mediante el aporte de recursos de contrapartida nacional para la dotación de equipos odontológicos y rehabilitación</w:t>
            </w:r>
            <w:r>
              <w:rPr>
                <w:rFonts w:ascii="Verdana" w:hAnsi="Verdana" w:cs="Arial"/>
                <w:sz w:val="20"/>
                <w:szCs w:val="20"/>
              </w:rPr>
              <w:t>, convenio de asociación  con La Fundación Plan,</w:t>
            </w:r>
            <w:r w:rsidRPr="00C00B2D">
              <w:rPr>
                <w:rFonts w:ascii="Verdana" w:hAnsi="Verdana" w:cs="Arial"/>
                <w:sz w:val="20"/>
                <w:szCs w:val="20"/>
              </w:rPr>
              <w:t xml:space="preserve"> para apoyar la constitución de los Grupos de Ahorro y Crédito Local, y el proceso de formación en emprendimiento en tres municipios PDET: Tumaco, Buenaventura y Quibdó</w:t>
            </w:r>
            <w:r>
              <w:rPr>
                <w:rFonts w:ascii="Verdana" w:hAnsi="Verdana" w:cs="Arial"/>
                <w:sz w:val="20"/>
                <w:szCs w:val="20"/>
              </w:rPr>
              <w:t xml:space="preserve"> y el convenio con La </w:t>
            </w:r>
            <w:r w:rsidRPr="00B93C7F">
              <w:rPr>
                <w:rFonts w:ascii="Verdana" w:hAnsi="Verdana" w:cs="Arial"/>
                <w:sz w:val="20"/>
                <w:szCs w:val="20"/>
              </w:rPr>
              <w:t>Fundación Para El Desarrollo Integral Del Pacifico</w:t>
            </w:r>
            <w:r>
              <w:rPr>
                <w:rFonts w:ascii="Verdana" w:hAnsi="Verdana" w:cs="Arial"/>
                <w:sz w:val="20"/>
                <w:szCs w:val="20"/>
              </w:rPr>
              <w:t>,</w:t>
            </w:r>
            <w:r>
              <w:t xml:space="preserve"> </w:t>
            </w:r>
            <w:r w:rsidRPr="000E72B5">
              <w:rPr>
                <w:rFonts w:ascii="Verdana" w:hAnsi="Verdana" w:cs="Arial"/>
                <w:sz w:val="20"/>
                <w:szCs w:val="20"/>
              </w:rPr>
              <w:t xml:space="preserve">diseñar un modelo de gobernanza territorial </w:t>
            </w:r>
            <w:r>
              <w:rPr>
                <w:rFonts w:ascii="Verdana" w:hAnsi="Verdana" w:cs="Arial"/>
                <w:sz w:val="20"/>
                <w:szCs w:val="20"/>
              </w:rPr>
              <w:t xml:space="preserve"> </w:t>
            </w:r>
            <w:r w:rsidRPr="00B93C7F">
              <w:rPr>
                <w:rFonts w:ascii="Verdana" w:hAnsi="Verdana" w:cs="Arial"/>
                <w:sz w:val="20"/>
                <w:szCs w:val="20"/>
              </w:rPr>
              <w:t>para mejorar la gestión hospitalaria en dos instituciones prestadoras de servicios de salud</w:t>
            </w:r>
            <w:r>
              <w:rPr>
                <w:rFonts w:ascii="Verdana" w:hAnsi="Verdana" w:cs="Arial"/>
                <w:sz w:val="20"/>
                <w:szCs w:val="20"/>
              </w:rPr>
              <w:t>.</w:t>
            </w:r>
          </w:p>
          <w:p w:rsidR="003C7F29" w:rsidRPr="00902BE7" w:rsidRDefault="003C7F29" w:rsidP="003C7F29">
            <w:pPr>
              <w:jc w:val="both"/>
              <w:rPr>
                <w:rFonts w:ascii="Verdana" w:hAnsi="Verdana" w:cs="Arial"/>
                <w:sz w:val="20"/>
                <w:szCs w:val="20"/>
              </w:rPr>
            </w:pPr>
            <w:r>
              <w:rPr>
                <w:rFonts w:ascii="Verdana" w:hAnsi="Verdana" w:cs="Arial"/>
                <w:sz w:val="20"/>
                <w:szCs w:val="20"/>
              </w:rPr>
              <w:t>3</w:t>
            </w:r>
            <w:r w:rsidRPr="00902BE7">
              <w:rPr>
                <w:rFonts w:ascii="Verdana" w:hAnsi="Verdana" w:cs="Arial"/>
                <w:sz w:val="20"/>
                <w:szCs w:val="20"/>
              </w:rPr>
              <w:t xml:space="preserve">) Administración de Recursos de Cooperación con el </w:t>
            </w:r>
            <w:r>
              <w:rPr>
                <w:rFonts w:ascii="Verdana" w:hAnsi="Verdana" w:cs="Arial"/>
                <w:sz w:val="20"/>
                <w:szCs w:val="20"/>
              </w:rPr>
              <w:t>85,88</w:t>
            </w:r>
            <w:r w:rsidRPr="00902BE7">
              <w:rPr>
                <w:rFonts w:ascii="Verdana" w:hAnsi="Verdana" w:cs="Arial"/>
                <w:sz w:val="20"/>
                <w:szCs w:val="20"/>
              </w:rPr>
              <w:t xml:space="preserve">% de la ejecución en inversión, equivalente a </w:t>
            </w:r>
            <w:r>
              <w:rPr>
                <w:rFonts w:ascii="Verdana" w:hAnsi="Verdana" w:cs="Arial"/>
                <w:sz w:val="20"/>
                <w:szCs w:val="20"/>
              </w:rPr>
              <w:t xml:space="preserve">16,245,2 </w:t>
            </w:r>
            <w:r w:rsidRPr="00902BE7">
              <w:rPr>
                <w:rFonts w:ascii="Verdana" w:hAnsi="Verdana" w:cs="Arial"/>
                <w:sz w:val="20"/>
                <w:szCs w:val="20"/>
              </w:rPr>
              <w:t xml:space="preserve">millones, distribuidos así: </w:t>
            </w:r>
          </w:p>
          <w:p w:rsidR="003C7F29" w:rsidRPr="00902BE7" w:rsidRDefault="003C7F29" w:rsidP="003C7F29">
            <w:pPr>
              <w:jc w:val="both"/>
              <w:rPr>
                <w:rFonts w:ascii="Verdana" w:hAnsi="Verdana" w:cs="Arial"/>
                <w:sz w:val="20"/>
                <w:szCs w:val="20"/>
              </w:rPr>
            </w:pPr>
            <w:r w:rsidRPr="00902BE7">
              <w:rPr>
                <w:rFonts w:ascii="Verdana" w:hAnsi="Verdana" w:cs="Arial"/>
                <w:sz w:val="20"/>
                <w:szCs w:val="20"/>
              </w:rPr>
              <w:t xml:space="preserve">a) </w:t>
            </w:r>
            <w:r>
              <w:rPr>
                <w:rFonts w:ascii="Verdana" w:hAnsi="Verdana" w:cs="Arial"/>
                <w:sz w:val="20"/>
                <w:szCs w:val="20"/>
              </w:rPr>
              <w:t>628,8</w:t>
            </w:r>
            <w:r w:rsidRPr="00902BE7">
              <w:rPr>
                <w:rFonts w:ascii="Verdana" w:hAnsi="Verdana" w:cs="Arial"/>
                <w:sz w:val="20"/>
                <w:szCs w:val="20"/>
              </w:rPr>
              <w:t xml:space="preserve"> millones del proyecto, denominado “Inclusión Social de Personas con Discapacidad mediante el Deporte: Fortalecimiento de Estructuras Nacionales Paralímpicas”</w:t>
            </w:r>
          </w:p>
          <w:p w:rsidR="003C7F29" w:rsidRPr="00902BE7" w:rsidRDefault="003C7F29" w:rsidP="003C7F29">
            <w:pPr>
              <w:jc w:val="both"/>
              <w:rPr>
                <w:rFonts w:ascii="Verdana" w:hAnsi="Verdana" w:cs="Arial"/>
                <w:sz w:val="20"/>
                <w:szCs w:val="20"/>
              </w:rPr>
            </w:pPr>
            <w:r>
              <w:rPr>
                <w:rFonts w:ascii="Verdana" w:hAnsi="Verdana" w:cs="Arial"/>
                <w:sz w:val="20"/>
                <w:szCs w:val="20"/>
              </w:rPr>
              <w:t>b) 1.618,0</w:t>
            </w:r>
            <w:r w:rsidRPr="00902BE7">
              <w:rPr>
                <w:rFonts w:ascii="Verdana" w:hAnsi="Verdana" w:cs="Arial"/>
                <w:sz w:val="20"/>
                <w:szCs w:val="20"/>
              </w:rPr>
              <w:t xml:space="preserve"> millones del proyecto “Estrategia regional de emprendimiento” financiado con recursos donados por la Unión Europea.</w:t>
            </w:r>
          </w:p>
          <w:p w:rsidR="003C7F29" w:rsidRDefault="003C7F29" w:rsidP="003C7F29">
            <w:pPr>
              <w:jc w:val="both"/>
              <w:rPr>
                <w:rFonts w:ascii="Verdana" w:hAnsi="Verdana" w:cs="Arial"/>
                <w:sz w:val="20"/>
                <w:szCs w:val="20"/>
              </w:rPr>
            </w:pPr>
            <w:r w:rsidRPr="00902BE7">
              <w:rPr>
                <w:rFonts w:ascii="Verdana" w:hAnsi="Verdana" w:cs="Arial"/>
                <w:sz w:val="20"/>
                <w:szCs w:val="20"/>
              </w:rPr>
              <w:t xml:space="preserve">c) </w:t>
            </w:r>
            <w:r>
              <w:rPr>
                <w:rFonts w:ascii="Verdana" w:hAnsi="Verdana" w:cs="Arial"/>
                <w:sz w:val="20"/>
                <w:szCs w:val="20"/>
              </w:rPr>
              <w:t>13.652,8</w:t>
            </w:r>
            <w:r w:rsidRPr="00902BE7">
              <w:rPr>
                <w:rFonts w:ascii="Verdana" w:hAnsi="Verdana" w:cs="Arial"/>
                <w:sz w:val="20"/>
                <w:szCs w:val="20"/>
              </w:rPr>
              <w:t xml:space="preserve"> millones por cuenta del proyecto de desminado terrestre en el marco del convenio de subvención firmado con la fundación Howard Buffet.</w:t>
            </w:r>
          </w:p>
          <w:p w:rsidR="003C7F29" w:rsidRDefault="003C7F29" w:rsidP="003C7F29">
            <w:pPr>
              <w:jc w:val="both"/>
              <w:rPr>
                <w:rFonts w:ascii="Verdana" w:hAnsi="Verdana" w:cs="Arial"/>
                <w:sz w:val="20"/>
                <w:szCs w:val="20"/>
              </w:rPr>
            </w:pPr>
            <w:r>
              <w:rPr>
                <w:rFonts w:ascii="Verdana" w:hAnsi="Verdana" w:cs="Arial"/>
                <w:sz w:val="20"/>
                <w:szCs w:val="20"/>
              </w:rPr>
              <w:t>d) 325,3 millones del proyecto Fondo Verde del Clima.</w:t>
            </w:r>
          </w:p>
          <w:p w:rsidR="003C7F29" w:rsidRDefault="003C7F29" w:rsidP="003C7F29">
            <w:pPr>
              <w:jc w:val="both"/>
              <w:rPr>
                <w:rFonts w:ascii="Verdana" w:hAnsi="Verdana" w:cs="Arial"/>
                <w:sz w:val="20"/>
                <w:szCs w:val="20"/>
              </w:rPr>
            </w:pPr>
            <w:r>
              <w:rPr>
                <w:rFonts w:ascii="Verdana" w:hAnsi="Verdana" w:cs="Arial"/>
                <w:sz w:val="20"/>
                <w:szCs w:val="20"/>
              </w:rPr>
              <w:t>e) 20,0 millones del proyecto con Corporación Andina de Fomento-CAF.</w:t>
            </w:r>
          </w:p>
          <w:p w:rsidR="003C7F29" w:rsidRPr="00902BE7" w:rsidRDefault="003C7F29" w:rsidP="003C7F29">
            <w:pPr>
              <w:jc w:val="both"/>
              <w:rPr>
                <w:rFonts w:ascii="Verdana" w:hAnsi="Verdana" w:cs="Arial"/>
                <w:sz w:val="20"/>
                <w:szCs w:val="20"/>
              </w:rPr>
            </w:pPr>
          </w:p>
          <w:p w:rsidR="003C7F29" w:rsidRPr="0057344D" w:rsidRDefault="003C7F29" w:rsidP="003C7F29">
            <w:pPr>
              <w:jc w:val="both"/>
              <w:rPr>
                <w:rFonts w:ascii="Verdana" w:hAnsi="Verdana" w:cs="Arial"/>
                <w:sz w:val="20"/>
                <w:szCs w:val="20"/>
              </w:rPr>
            </w:pPr>
            <w:r w:rsidRPr="00902BE7">
              <w:rPr>
                <w:rFonts w:ascii="Verdana" w:hAnsi="Verdana" w:cs="Arial"/>
                <w:sz w:val="20"/>
                <w:szCs w:val="20"/>
              </w:rPr>
              <w:t xml:space="preserve">2) Fortalecimiento de las capacidades tecnológicas de la información en APC-COLOMBIA, con el </w:t>
            </w:r>
            <w:r>
              <w:rPr>
                <w:rFonts w:ascii="Verdana" w:hAnsi="Verdana" w:cs="Arial"/>
                <w:sz w:val="20"/>
                <w:szCs w:val="20"/>
              </w:rPr>
              <w:t>2,54</w:t>
            </w:r>
            <w:r w:rsidRPr="00902BE7">
              <w:rPr>
                <w:rFonts w:ascii="Verdana" w:hAnsi="Verdana" w:cs="Arial"/>
                <w:sz w:val="20"/>
                <w:szCs w:val="20"/>
              </w:rPr>
              <w:t xml:space="preserve">% de la ejecución en inversión, equivalente a </w:t>
            </w:r>
            <w:r>
              <w:rPr>
                <w:rFonts w:ascii="Verdana" w:hAnsi="Verdana" w:cs="Arial"/>
                <w:sz w:val="20"/>
                <w:szCs w:val="20"/>
              </w:rPr>
              <w:t>481,4</w:t>
            </w:r>
            <w:r w:rsidRPr="00902BE7">
              <w:rPr>
                <w:rFonts w:ascii="Verdana" w:hAnsi="Verdana" w:cs="Arial"/>
                <w:sz w:val="20"/>
                <w:szCs w:val="20"/>
              </w:rPr>
              <w:t xml:space="preserve"> millones para los servicios profesional</w:t>
            </w:r>
            <w:r>
              <w:rPr>
                <w:rFonts w:ascii="Verdana" w:hAnsi="Verdana" w:cs="Arial"/>
                <w:sz w:val="20"/>
                <w:szCs w:val="20"/>
              </w:rPr>
              <w:t>es para la gestión del proyecto y los contratos con  la Unión Temporal Seguridad-Nas, para</w:t>
            </w:r>
            <w:r w:rsidRPr="0057344D">
              <w:rPr>
                <w:rFonts w:ascii="Verdana" w:hAnsi="Verdana" w:cs="Arial"/>
                <w:sz w:val="20"/>
                <w:szCs w:val="20"/>
              </w:rPr>
              <w:t xml:space="preserve"> salvaguardar la información de los equipos de cómputo y red</w:t>
            </w:r>
            <w:r>
              <w:rPr>
                <w:rFonts w:ascii="Verdana" w:hAnsi="Verdana" w:cs="Arial"/>
                <w:sz w:val="20"/>
                <w:szCs w:val="20"/>
              </w:rPr>
              <w:t xml:space="preserve">, con </w:t>
            </w:r>
            <w:r w:rsidRPr="0057344D">
              <w:rPr>
                <w:rFonts w:ascii="Verdana" w:hAnsi="Verdana" w:cs="Arial"/>
                <w:sz w:val="20"/>
                <w:szCs w:val="20"/>
              </w:rPr>
              <w:t xml:space="preserve">Ximil </w:t>
            </w:r>
            <w:r w:rsidRPr="0057344D">
              <w:rPr>
                <w:rFonts w:ascii="Verdana" w:hAnsi="Verdana" w:cs="Arial"/>
                <w:sz w:val="20"/>
                <w:szCs w:val="20"/>
              </w:rPr>
              <w:lastRenderedPageBreak/>
              <w:t>Technologies SAS</w:t>
            </w:r>
            <w:r>
              <w:rPr>
                <w:rFonts w:ascii="Verdana" w:hAnsi="Verdana" w:cs="Arial"/>
                <w:sz w:val="20"/>
                <w:szCs w:val="20"/>
              </w:rPr>
              <w:t xml:space="preserve"> </w:t>
            </w:r>
            <w:r w:rsidRPr="0057344D">
              <w:rPr>
                <w:rFonts w:ascii="Verdana" w:hAnsi="Verdana" w:cs="Arial"/>
                <w:sz w:val="20"/>
                <w:szCs w:val="20"/>
              </w:rPr>
              <w:t>para dar soporte  y mantenimiento del sistema documental ORFEOGOB</w:t>
            </w:r>
            <w:r>
              <w:rPr>
                <w:rFonts w:ascii="Verdana" w:hAnsi="Verdana" w:cs="Arial"/>
                <w:sz w:val="20"/>
                <w:szCs w:val="20"/>
              </w:rPr>
              <w:t xml:space="preserve"> y el </w:t>
            </w:r>
            <w:r w:rsidRPr="0057344D">
              <w:rPr>
                <w:rFonts w:ascii="Verdana" w:hAnsi="Verdana" w:cs="Arial"/>
                <w:sz w:val="20"/>
                <w:szCs w:val="20"/>
              </w:rPr>
              <w:t>contrato con la Unión Soluciones Sistemas De Información S.A.S para mejoras y capacitaciones para los sistemas SARA Y SOFIA.</w:t>
            </w:r>
          </w:p>
          <w:p w:rsidR="00746AE6" w:rsidRPr="00B65FB9" w:rsidRDefault="00746AE6" w:rsidP="00D4426B">
            <w:pPr>
              <w:jc w:val="both"/>
              <w:rPr>
                <w:rFonts w:ascii="Verdana" w:hAnsi="Verdana" w:cs="Arial"/>
                <w:sz w:val="20"/>
                <w:szCs w:val="20"/>
              </w:rPr>
            </w:pPr>
          </w:p>
        </w:tc>
        <w:tc>
          <w:tcPr>
            <w:tcW w:w="6640" w:type="dxa"/>
            <w:vAlign w:val="center"/>
          </w:tcPr>
          <w:p w:rsidR="00265D9B" w:rsidRPr="00FA79EC" w:rsidRDefault="00265D9B" w:rsidP="00265D9B">
            <w:pPr>
              <w:jc w:val="both"/>
              <w:rPr>
                <w:rFonts w:ascii="Verdana" w:eastAsia="Times New Roman" w:hAnsi="Verdana" w:cs="Times New Roman"/>
                <w:sz w:val="20"/>
                <w:szCs w:val="20"/>
              </w:rPr>
            </w:pPr>
            <w:r w:rsidRPr="00FA79EC">
              <w:rPr>
                <w:rFonts w:ascii="Verdana" w:eastAsia="Times New Roman" w:hAnsi="Verdana" w:cs="Times New Roman"/>
                <w:b/>
                <w:sz w:val="20"/>
                <w:szCs w:val="20"/>
              </w:rPr>
              <w:lastRenderedPageBreak/>
              <w:t>Indicador:</w:t>
            </w:r>
            <w:r w:rsidRPr="00FA79EC">
              <w:rPr>
                <w:rFonts w:ascii="Verdana" w:eastAsia="Times New Roman" w:hAnsi="Verdana" w:cs="Times New Roman"/>
                <w:sz w:val="20"/>
                <w:szCs w:val="20"/>
              </w:rPr>
              <w:t xml:space="preserve"> Ejecución Obligaciones / Apropiación Vigente.</w:t>
            </w:r>
          </w:p>
          <w:p w:rsidR="00265D9B" w:rsidRPr="00FA79EC" w:rsidRDefault="006F65B6" w:rsidP="00265D9B">
            <w:pPr>
              <w:jc w:val="both"/>
              <w:rPr>
                <w:rFonts w:ascii="Verdana" w:eastAsia="Times New Roman" w:hAnsi="Verdana" w:cs="Times New Roman"/>
                <w:sz w:val="20"/>
                <w:szCs w:val="20"/>
              </w:rPr>
            </w:pPr>
            <w:r w:rsidRPr="00FA79EC">
              <w:rPr>
                <w:rFonts w:ascii="Verdana" w:eastAsia="Times New Roman" w:hAnsi="Verdana" w:cs="Times New Roman"/>
                <w:b/>
                <w:sz w:val="20"/>
                <w:szCs w:val="20"/>
              </w:rPr>
              <w:t>Indicador:</w:t>
            </w:r>
            <w:r w:rsidR="00265D9B" w:rsidRPr="00FA79EC">
              <w:rPr>
                <w:rFonts w:ascii="Verdana" w:eastAsia="Times New Roman" w:hAnsi="Verdana" w:cs="Times New Roman"/>
                <w:sz w:val="20"/>
                <w:szCs w:val="20"/>
              </w:rPr>
              <w:t xml:space="preserve"> </w:t>
            </w:r>
            <w:r w:rsidR="002837B2">
              <w:rPr>
                <w:rFonts w:ascii="Verdana" w:eastAsia="Times New Roman" w:hAnsi="Verdana" w:cs="Times New Roman"/>
                <w:sz w:val="20"/>
                <w:szCs w:val="20"/>
              </w:rPr>
              <w:t>4.775,3</w:t>
            </w:r>
            <w:r w:rsidR="001D11D2" w:rsidRPr="00FA79EC">
              <w:rPr>
                <w:rFonts w:ascii="Verdana" w:eastAsia="Times New Roman" w:hAnsi="Verdana" w:cs="Times New Roman"/>
                <w:sz w:val="20"/>
                <w:szCs w:val="20"/>
              </w:rPr>
              <w:t xml:space="preserve"> </w:t>
            </w:r>
            <w:r w:rsidR="008C5467" w:rsidRPr="00FA79EC">
              <w:rPr>
                <w:rFonts w:ascii="Verdana" w:eastAsia="Times New Roman" w:hAnsi="Verdana" w:cs="Times New Roman"/>
                <w:sz w:val="20"/>
                <w:szCs w:val="20"/>
              </w:rPr>
              <w:t>/</w:t>
            </w:r>
            <w:r w:rsidR="001D11D2" w:rsidRPr="00FA79EC">
              <w:rPr>
                <w:rFonts w:ascii="Verdana" w:eastAsia="Times New Roman" w:hAnsi="Verdana" w:cs="Times New Roman"/>
                <w:sz w:val="20"/>
                <w:szCs w:val="20"/>
              </w:rPr>
              <w:t xml:space="preserve"> 65.618,1</w:t>
            </w:r>
            <w:r w:rsidR="008C5467" w:rsidRPr="00FA79EC">
              <w:rPr>
                <w:rFonts w:ascii="Verdana" w:eastAsia="Times New Roman" w:hAnsi="Verdana" w:cs="Times New Roman"/>
                <w:sz w:val="20"/>
                <w:szCs w:val="20"/>
              </w:rPr>
              <w:t xml:space="preserve"> </w:t>
            </w:r>
            <w:r w:rsidR="00265D9B" w:rsidRPr="00FA79EC">
              <w:rPr>
                <w:rFonts w:ascii="Verdana" w:eastAsia="Times New Roman" w:hAnsi="Verdana" w:cs="Times New Roman"/>
                <w:sz w:val="20"/>
                <w:szCs w:val="20"/>
              </w:rPr>
              <w:t xml:space="preserve">= </w:t>
            </w:r>
            <w:r w:rsidR="002837B2">
              <w:rPr>
                <w:rFonts w:ascii="Verdana" w:eastAsia="Times New Roman" w:hAnsi="Verdana" w:cs="Times New Roman"/>
                <w:sz w:val="20"/>
                <w:szCs w:val="20"/>
              </w:rPr>
              <w:t>7,28</w:t>
            </w:r>
            <w:r w:rsidR="00265D9B" w:rsidRPr="00FA79EC">
              <w:rPr>
                <w:rFonts w:ascii="Verdana" w:eastAsia="Times New Roman" w:hAnsi="Verdana" w:cs="Times New Roman"/>
                <w:sz w:val="20"/>
                <w:szCs w:val="20"/>
              </w:rPr>
              <w:t xml:space="preserve">%. </w:t>
            </w:r>
          </w:p>
          <w:p w:rsidR="002B1F8C" w:rsidRPr="00FA79EC" w:rsidRDefault="002B1F8C" w:rsidP="00265D9B">
            <w:pPr>
              <w:jc w:val="both"/>
              <w:rPr>
                <w:rFonts w:ascii="Verdana" w:eastAsia="Times New Roman" w:hAnsi="Verdana" w:cs="Times New Roman"/>
                <w:sz w:val="20"/>
                <w:szCs w:val="20"/>
              </w:rPr>
            </w:pPr>
          </w:p>
          <w:p w:rsidR="002837B2" w:rsidRDefault="00265D9B" w:rsidP="002837B2">
            <w:pPr>
              <w:jc w:val="both"/>
              <w:rPr>
                <w:rFonts w:ascii="Verdana" w:hAnsi="Verdana" w:cs="Arial"/>
                <w:sz w:val="20"/>
                <w:szCs w:val="20"/>
              </w:rPr>
            </w:pPr>
            <w:r w:rsidRPr="00FA79EC">
              <w:rPr>
                <w:rFonts w:ascii="Verdana" w:eastAsia="Times New Roman" w:hAnsi="Verdana" w:cs="Times New Roman"/>
                <w:sz w:val="20"/>
                <w:szCs w:val="20"/>
              </w:rPr>
              <w:t xml:space="preserve">Se obligaron recursos por valor de </w:t>
            </w:r>
            <w:r w:rsidR="002837B2">
              <w:rPr>
                <w:rFonts w:ascii="Verdana" w:eastAsia="Times New Roman" w:hAnsi="Verdana" w:cs="Times New Roman"/>
                <w:sz w:val="20"/>
                <w:szCs w:val="20"/>
              </w:rPr>
              <w:t>4.775,3</w:t>
            </w:r>
            <w:r w:rsidR="008C5467" w:rsidRPr="00FA79EC">
              <w:rPr>
                <w:rFonts w:ascii="Verdana" w:eastAsia="Times New Roman" w:hAnsi="Verdana" w:cs="Times New Roman"/>
                <w:sz w:val="20"/>
                <w:szCs w:val="20"/>
              </w:rPr>
              <w:t xml:space="preserve"> millones equivalentes al </w:t>
            </w:r>
            <w:r w:rsidR="002837B2">
              <w:rPr>
                <w:rFonts w:ascii="Verdana" w:eastAsia="Times New Roman" w:hAnsi="Verdana" w:cs="Times New Roman"/>
                <w:sz w:val="20"/>
                <w:szCs w:val="20"/>
              </w:rPr>
              <w:t>7,28</w:t>
            </w:r>
            <w:r w:rsidRPr="00FA79EC">
              <w:rPr>
                <w:rFonts w:ascii="Verdana" w:eastAsia="Times New Roman" w:hAnsi="Verdana" w:cs="Times New Roman"/>
                <w:sz w:val="20"/>
                <w:szCs w:val="20"/>
              </w:rPr>
              <w:t>% de la apropiación de inver</w:t>
            </w:r>
            <w:r w:rsidR="00A750DC" w:rsidRPr="00FA79EC">
              <w:rPr>
                <w:rFonts w:ascii="Verdana" w:eastAsia="Times New Roman" w:hAnsi="Verdana" w:cs="Times New Roman"/>
                <w:sz w:val="20"/>
                <w:szCs w:val="20"/>
              </w:rPr>
              <w:t xml:space="preserve">sión, frente a una meta del </w:t>
            </w:r>
            <w:r w:rsidR="002837B2">
              <w:rPr>
                <w:rFonts w:ascii="Verdana" w:eastAsia="Times New Roman" w:hAnsi="Verdana" w:cs="Times New Roman"/>
                <w:sz w:val="20"/>
                <w:szCs w:val="20"/>
              </w:rPr>
              <w:t>19,27</w:t>
            </w:r>
            <w:r w:rsidRPr="00FA79EC">
              <w:rPr>
                <w:rFonts w:ascii="Verdana" w:eastAsia="Times New Roman" w:hAnsi="Verdana" w:cs="Times New Roman"/>
                <w:sz w:val="20"/>
                <w:szCs w:val="20"/>
              </w:rPr>
              <w:t>%</w:t>
            </w:r>
            <w:r w:rsidR="007849E6" w:rsidRPr="00FA79EC">
              <w:rPr>
                <w:rFonts w:ascii="Verdana" w:eastAsia="Times New Roman" w:hAnsi="Verdana" w:cs="Times New Roman"/>
                <w:sz w:val="20"/>
                <w:szCs w:val="20"/>
              </w:rPr>
              <w:t>,</w:t>
            </w:r>
            <w:r w:rsidR="007849E6">
              <w:rPr>
                <w:rFonts w:ascii="Verdana" w:eastAsia="Times New Roman" w:hAnsi="Verdana" w:cs="Times New Roman"/>
                <w:sz w:val="20"/>
                <w:szCs w:val="20"/>
              </w:rPr>
              <w:t xml:space="preserve"> </w:t>
            </w:r>
            <w:r w:rsidR="002837B2">
              <w:rPr>
                <w:rFonts w:ascii="Verdana" w:hAnsi="Verdana" w:cs="Arial"/>
                <w:sz w:val="20"/>
                <w:szCs w:val="20"/>
                <w:lang w:val="es-CO"/>
              </w:rPr>
              <w:t xml:space="preserve">Déficit de 649,3 millones </w:t>
            </w:r>
            <w:r w:rsidR="002837B2" w:rsidRPr="00994555">
              <w:rPr>
                <w:rFonts w:ascii="Verdana" w:hAnsi="Verdana" w:cs="Arial"/>
                <w:sz w:val="20"/>
                <w:szCs w:val="20"/>
              </w:rPr>
              <w:t>debido a que</w:t>
            </w:r>
            <w:r w:rsidR="002837B2">
              <w:rPr>
                <w:rFonts w:ascii="Verdana" w:hAnsi="Verdana" w:cs="Arial"/>
                <w:sz w:val="20"/>
                <w:szCs w:val="20"/>
              </w:rPr>
              <w:t xml:space="preserve"> no se tramitaron todos los contratos que se tenían previstos por el rubro de Contrapartida. 2) Déficit de 7.191,0 millones, debido a que no se tramitaron todas las facturas que se tenían previstas para el rubro de Administración de recursos.3) Déficit de 26,3 millones por Fortalecimiento de las capacidades tecnológicas debido que no se tramitaron todas las facturas que se tenían previstas  para este mes.</w:t>
            </w:r>
          </w:p>
          <w:p w:rsidR="00426224" w:rsidRDefault="00426224" w:rsidP="00E31078">
            <w:pPr>
              <w:jc w:val="both"/>
              <w:rPr>
                <w:rFonts w:ascii="Verdana" w:hAnsi="Verdana" w:cs="Arial"/>
                <w:sz w:val="20"/>
                <w:szCs w:val="20"/>
              </w:rPr>
            </w:pPr>
          </w:p>
          <w:p w:rsidR="00426224" w:rsidRDefault="00426224" w:rsidP="00426224">
            <w:pPr>
              <w:jc w:val="both"/>
              <w:rPr>
                <w:rFonts w:ascii="Verdana" w:hAnsi="Verdana" w:cs="Arial"/>
                <w:sz w:val="20"/>
                <w:szCs w:val="20"/>
              </w:rPr>
            </w:pPr>
            <w:r w:rsidRPr="007C68D7">
              <w:rPr>
                <w:rFonts w:ascii="Verdana" w:hAnsi="Verdana" w:cs="Arial"/>
                <w:sz w:val="20"/>
                <w:szCs w:val="20"/>
              </w:rPr>
              <w:t>La ejecución de los gastos de inversión estuvo distribuida así:</w:t>
            </w:r>
          </w:p>
          <w:p w:rsidR="00A50848" w:rsidRDefault="00A50848" w:rsidP="00A50848">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27,72% </w:t>
            </w:r>
            <w:r>
              <w:rPr>
                <w:rFonts w:ascii="Verdana" w:hAnsi="Verdana" w:cs="Arial"/>
                <w:sz w:val="20"/>
                <w:szCs w:val="20"/>
              </w:rPr>
              <w:lastRenderedPageBreak/>
              <w:t>de la ejecución de inversión, equivalente a 1.323,6 para la ejecución total del  pago del contrato con el ICETEX.</w:t>
            </w:r>
          </w:p>
          <w:p w:rsidR="00A50848" w:rsidRDefault="00A50848" w:rsidP="00A50848">
            <w:pPr>
              <w:jc w:val="both"/>
              <w:rPr>
                <w:rFonts w:ascii="Verdana" w:hAnsi="Verdana" w:cs="Arial"/>
                <w:sz w:val="20"/>
                <w:szCs w:val="20"/>
              </w:rPr>
            </w:pPr>
            <w:r>
              <w:rPr>
                <w:rFonts w:ascii="Verdana" w:hAnsi="Verdana" w:cs="Arial"/>
                <w:sz w:val="20"/>
                <w:szCs w:val="20"/>
              </w:rPr>
              <w:t xml:space="preserve">2) </w:t>
            </w:r>
            <w:r>
              <w:t>I</w:t>
            </w:r>
            <w:r w:rsidRPr="00BD6CAD">
              <w:rPr>
                <w:rFonts w:ascii="Verdana" w:hAnsi="Verdana" w:cs="Arial"/>
                <w:sz w:val="20"/>
                <w:szCs w:val="20"/>
              </w:rPr>
              <w:t>mplementación de proyectos de cooperación internacional no reembolsable con aporte de recursos de contrapartida  nacional</w:t>
            </w:r>
            <w:r>
              <w:rPr>
                <w:rFonts w:ascii="Verdana" w:hAnsi="Verdana" w:cs="Arial"/>
                <w:sz w:val="20"/>
                <w:szCs w:val="20"/>
              </w:rPr>
              <w:t xml:space="preserve"> con el 9,61% de la ejecución de inversión, equivalente a 459,1 millones para el pago del Convenio interadministrativo con el Hospital local de Tauramena y el Convenio de asociación con La Fundación Plan.</w:t>
            </w:r>
          </w:p>
          <w:p w:rsidR="00A50848" w:rsidRPr="007C68D7" w:rsidRDefault="00A50848" w:rsidP="00A50848">
            <w:pPr>
              <w:jc w:val="both"/>
              <w:rPr>
                <w:rFonts w:ascii="Verdana" w:hAnsi="Verdana" w:cs="Arial"/>
                <w:sz w:val="20"/>
                <w:szCs w:val="20"/>
              </w:rPr>
            </w:pPr>
            <w:r>
              <w:rPr>
                <w:rFonts w:ascii="Verdana" w:hAnsi="Verdana" w:cs="Arial"/>
                <w:sz w:val="20"/>
                <w:szCs w:val="20"/>
              </w:rPr>
              <w:t>3</w:t>
            </w:r>
            <w:r w:rsidRPr="007C68D7">
              <w:rPr>
                <w:rFonts w:ascii="Verdana" w:hAnsi="Verdana" w:cs="Arial"/>
                <w:sz w:val="20"/>
                <w:szCs w:val="20"/>
              </w:rPr>
              <w:t xml:space="preserve">) Administración de Recursos de Cooperación con el </w:t>
            </w:r>
            <w:r>
              <w:rPr>
                <w:rFonts w:ascii="Verdana" w:hAnsi="Verdana" w:cs="Arial"/>
                <w:sz w:val="20"/>
                <w:szCs w:val="20"/>
              </w:rPr>
              <w:t>60,17</w:t>
            </w:r>
            <w:r w:rsidRPr="007C68D7">
              <w:rPr>
                <w:rFonts w:ascii="Verdana" w:hAnsi="Verdana" w:cs="Arial"/>
                <w:sz w:val="20"/>
                <w:szCs w:val="20"/>
              </w:rPr>
              <w:t xml:space="preserve">% de la ejecución en inversión, equivalente a </w:t>
            </w:r>
            <w:r>
              <w:rPr>
                <w:rFonts w:ascii="Verdana" w:hAnsi="Verdana" w:cs="Arial"/>
                <w:sz w:val="20"/>
                <w:szCs w:val="20"/>
              </w:rPr>
              <w:t>2.873,3</w:t>
            </w:r>
            <w:r w:rsidRPr="007C68D7">
              <w:rPr>
                <w:rFonts w:ascii="Verdana" w:hAnsi="Verdana" w:cs="Arial"/>
                <w:sz w:val="20"/>
                <w:szCs w:val="20"/>
              </w:rPr>
              <w:t xml:space="preserve"> millones, distribuidos así:</w:t>
            </w:r>
          </w:p>
          <w:p w:rsidR="00A50848" w:rsidRDefault="00A50848" w:rsidP="00A50848">
            <w:pPr>
              <w:jc w:val="both"/>
              <w:rPr>
                <w:rFonts w:ascii="Verdana" w:hAnsi="Verdana" w:cs="Arial"/>
                <w:sz w:val="20"/>
                <w:szCs w:val="20"/>
              </w:rPr>
            </w:pPr>
            <w:r>
              <w:rPr>
                <w:rFonts w:ascii="Verdana" w:hAnsi="Verdana" w:cs="Arial"/>
                <w:sz w:val="20"/>
                <w:szCs w:val="20"/>
              </w:rPr>
              <w:t xml:space="preserve">a) 338,2 millones, pagos del proyecto </w:t>
            </w:r>
            <w:r w:rsidRPr="008B4BA6">
              <w:rPr>
                <w:rFonts w:ascii="Verdana" w:hAnsi="Verdana" w:cs="Arial"/>
                <w:sz w:val="20"/>
                <w:szCs w:val="20"/>
              </w:rPr>
              <w:t xml:space="preserve">PMR </w:t>
            </w:r>
            <w:r>
              <w:rPr>
                <w:rFonts w:ascii="Verdana" w:hAnsi="Verdana" w:cs="Arial"/>
                <w:sz w:val="20"/>
                <w:szCs w:val="20"/>
              </w:rPr>
              <w:t>Banco M</w:t>
            </w:r>
            <w:r w:rsidRPr="008B4BA6">
              <w:rPr>
                <w:rFonts w:ascii="Verdana" w:hAnsi="Verdana" w:cs="Arial"/>
                <w:sz w:val="20"/>
                <w:szCs w:val="20"/>
              </w:rPr>
              <w:t>undial</w:t>
            </w:r>
            <w:r>
              <w:rPr>
                <w:rFonts w:ascii="Verdana" w:hAnsi="Verdana" w:cs="Arial"/>
                <w:sz w:val="20"/>
                <w:szCs w:val="20"/>
              </w:rPr>
              <w:t xml:space="preserve"> (</w:t>
            </w:r>
            <w:proofErr w:type="spellStart"/>
            <w:r w:rsidRPr="008B4BA6">
              <w:rPr>
                <w:rFonts w:ascii="Verdana" w:hAnsi="Verdana" w:cs="Arial"/>
                <w:sz w:val="20"/>
                <w:szCs w:val="20"/>
              </w:rPr>
              <w:t>Agitos</w:t>
            </w:r>
            <w:proofErr w:type="spellEnd"/>
            <w:r w:rsidRPr="008B4BA6">
              <w:rPr>
                <w:rFonts w:ascii="Verdana" w:hAnsi="Verdana" w:cs="Arial"/>
                <w:sz w:val="20"/>
                <w:szCs w:val="20"/>
              </w:rPr>
              <w:t xml:space="preserve"> </w:t>
            </w:r>
            <w:proofErr w:type="spellStart"/>
            <w:r w:rsidRPr="008B4BA6">
              <w:rPr>
                <w:rFonts w:ascii="Verdana" w:hAnsi="Verdana" w:cs="Arial"/>
                <w:sz w:val="20"/>
                <w:szCs w:val="20"/>
              </w:rPr>
              <w:t>Foundation</w:t>
            </w:r>
            <w:proofErr w:type="spellEnd"/>
            <w:r>
              <w:rPr>
                <w:rFonts w:ascii="Verdana" w:hAnsi="Verdana" w:cs="Arial"/>
                <w:sz w:val="20"/>
                <w:szCs w:val="20"/>
              </w:rPr>
              <w:t>).</w:t>
            </w:r>
          </w:p>
          <w:p w:rsidR="00A50848" w:rsidRPr="007C68D7" w:rsidRDefault="00A50848" w:rsidP="00A50848">
            <w:pPr>
              <w:jc w:val="both"/>
              <w:rPr>
                <w:rFonts w:ascii="Verdana" w:hAnsi="Verdana" w:cs="Arial"/>
                <w:sz w:val="20"/>
                <w:szCs w:val="20"/>
              </w:rPr>
            </w:pPr>
            <w:r>
              <w:rPr>
                <w:rFonts w:ascii="Verdana" w:hAnsi="Verdana" w:cs="Arial"/>
                <w:sz w:val="20"/>
                <w:szCs w:val="20"/>
              </w:rPr>
              <w:t>b</w:t>
            </w:r>
            <w:r w:rsidRPr="007C68D7">
              <w:rPr>
                <w:rFonts w:ascii="Verdana" w:hAnsi="Verdana" w:cs="Arial"/>
                <w:sz w:val="20"/>
                <w:szCs w:val="20"/>
              </w:rPr>
              <w:t xml:space="preserve">) </w:t>
            </w:r>
            <w:r>
              <w:rPr>
                <w:rFonts w:ascii="Verdana" w:hAnsi="Verdana" w:cs="Arial"/>
                <w:sz w:val="20"/>
                <w:szCs w:val="20"/>
              </w:rPr>
              <w:t>1.059,1</w:t>
            </w:r>
            <w:r w:rsidRPr="007C68D7">
              <w:rPr>
                <w:rFonts w:ascii="Verdana" w:hAnsi="Verdana" w:cs="Arial"/>
                <w:sz w:val="20"/>
                <w:szCs w:val="20"/>
              </w:rPr>
              <w:t xml:space="preserve"> millones, pagos realizados en el marco del proyecto “Estrategia regional de emprendimiento” financiado con recursos donados por la Unión Europea.</w:t>
            </w:r>
          </w:p>
          <w:p w:rsidR="00A50848" w:rsidRDefault="00A50848" w:rsidP="00A50848">
            <w:pPr>
              <w:jc w:val="both"/>
              <w:rPr>
                <w:rFonts w:ascii="Verdana" w:hAnsi="Verdana" w:cs="Arial"/>
                <w:sz w:val="20"/>
                <w:szCs w:val="20"/>
              </w:rPr>
            </w:pPr>
            <w:r>
              <w:rPr>
                <w:rFonts w:ascii="Verdana" w:hAnsi="Verdana" w:cs="Arial"/>
                <w:sz w:val="20"/>
                <w:szCs w:val="20"/>
              </w:rPr>
              <w:t>c</w:t>
            </w:r>
            <w:r w:rsidRPr="007C68D7">
              <w:rPr>
                <w:rFonts w:ascii="Verdana" w:hAnsi="Verdana" w:cs="Arial"/>
                <w:sz w:val="20"/>
                <w:szCs w:val="20"/>
              </w:rPr>
              <w:t xml:space="preserve">) </w:t>
            </w:r>
            <w:r>
              <w:rPr>
                <w:rFonts w:ascii="Verdana" w:hAnsi="Verdana" w:cs="Arial"/>
                <w:sz w:val="20"/>
                <w:szCs w:val="20"/>
              </w:rPr>
              <w:t>1.321,5</w:t>
            </w:r>
            <w:r w:rsidRPr="007C68D7">
              <w:rPr>
                <w:rFonts w:ascii="Verdana" w:hAnsi="Verdana" w:cs="Arial"/>
                <w:sz w:val="20"/>
                <w:szCs w:val="20"/>
              </w:rPr>
              <w:t xml:space="preserve"> millones, pagos del proyecto de desminado terrestre en el marco del convenio de subvención firmado con la fundación Howard Buffet.</w:t>
            </w:r>
          </w:p>
          <w:p w:rsidR="00A50848" w:rsidRDefault="00A50848" w:rsidP="00A50848">
            <w:pPr>
              <w:jc w:val="both"/>
              <w:rPr>
                <w:rFonts w:ascii="Verdana" w:hAnsi="Verdana" w:cs="Arial"/>
                <w:sz w:val="20"/>
                <w:szCs w:val="20"/>
              </w:rPr>
            </w:pPr>
            <w:r>
              <w:rPr>
                <w:rFonts w:ascii="Verdana" w:hAnsi="Verdana" w:cs="Arial"/>
                <w:sz w:val="20"/>
                <w:szCs w:val="20"/>
              </w:rPr>
              <w:t>d) 150,4 millones del proyecto Fondo Verde del Clima.</w:t>
            </w:r>
          </w:p>
          <w:p w:rsidR="00A50848" w:rsidRDefault="00A50848" w:rsidP="00A50848">
            <w:pPr>
              <w:jc w:val="both"/>
              <w:rPr>
                <w:rFonts w:ascii="Verdana" w:hAnsi="Verdana" w:cs="Arial"/>
                <w:sz w:val="20"/>
                <w:szCs w:val="20"/>
              </w:rPr>
            </w:pPr>
            <w:r>
              <w:rPr>
                <w:rFonts w:ascii="Verdana" w:hAnsi="Verdana" w:cs="Arial"/>
                <w:sz w:val="20"/>
                <w:szCs w:val="20"/>
              </w:rPr>
              <w:t>e) 4,0 millones del Proyecto con Corporación Andina de Fomento-CAF.</w:t>
            </w:r>
          </w:p>
          <w:p w:rsidR="00A50848" w:rsidRPr="007C68D7" w:rsidRDefault="00A50848" w:rsidP="00A50848">
            <w:pPr>
              <w:jc w:val="both"/>
              <w:rPr>
                <w:rFonts w:ascii="Verdana" w:hAnsi="Verdana" w:cs="Arial"/>
                <w:sz w:val="20"/>
                <w:szCs w:val="20"/>
              </w:rPr>
            </w:pPr>
          </w:p>
          <w:p w:rsidR="00157F71" w:rsidRPr="00FA79EC" w:rsidRDefault="00A50848" w:rsidP="00A50848">
            <w:pPr>
              <w:jc w:val="both"/>
              <w:rPr>
                <w:rFonts w:ascii="Verdana" w:hAnsi="Verdana"/>
                <w:color w:val="FF0000"/>
                <w:sz w:val="20"/>
                <w:szCs w:val="20"/>
              </w:rPr>
            </w:pPr>
            <w:r w:rsidRPr="007C68D7">
              <w:rPr>
                <w:rFonts w:ascii="Verdana" w:hAnsi="Verdana" w:cs="Arial"/>
                <w:sz w:val="20"/>
                <w:szCs w:val="20"/>
              </w:rPr>
              <w:t xml:space="preserve">2) Fortalecimiento de las capacidades tecnológicas de la información en APC-COLOMBIA, con el </w:t>
            </w:r>
            <w:r>
              <w:rPr>
                <w:rFonts w:ascii="Verdana" w:hAnsi="Verdana" w:cs="Arial"/>
                <w:sz w:val="20"/>
                <w:szCs w:val="20"/>
              </w:rPr>
              <w:t>2,50</w:t>
            </w:r>
            <w:r w:rsidRPr="007C68D7">
              <w:rPr>
                <w:rFonts w:ascii="Verdana" w:hAnsi="Verdana" w:cs="Arial"/>
                <w:sz w:val="20"/>
                <w:szCs w:val="20"/>
              </w:rPr>
              <w:t xml:space="preserve">% de la ejecución en inversión, equivalente a </w:t>
            </w:r>
            <w:r>
              <w:rPr>
                <w:rFonts w:ascii="Verdana" w:hAnsi="Verdana" w:cs="Arial"/>
                <w:sz w:val="20"/>
                <w:szCs w:val="20"/>
              </w:rPr>
              <w:t>119,2</w:t>
            </w:r>
            <w:r w:rsidRPr="007C68D7">
              <w:rPr>
                <w:rFonts w:ascii="Verdana" w:hAnsi="Verdana" w:cs="Arial"/>
                <w:sz w:val="20"/>
                <w:szCs w:val="20"/>
              </w:rPr>
              <w:t xml:space="preserve"> millones para </w:t>
            </w:r>
            <w:r>
              <w:rPr>
                <w:rFonts w:ascii="Verdana" w:hAnsi="Verdana" w:cs="Arial"/>
                <w:sz w:val="20"/>
                <w:szCs w:val="20"/>
              </w:rPr>
              <w:t xml:space="preserve">el pago de </w:t>
            </w:r>
            <w:r w:rsidRPr="007C68D7">
              <w:rPr>
                <w:rFonts w:ascii="Verdana" w:hAnsi="Verdana" w:cs="Arial"/>
                <w:sz w:val="20"/>
                <w:szCs w:val="20"/>
              </w:rPr>
              <w:t>los servicios profesionales para la gestión del proyecto</w:t>
            </w:r>
            <w:r>
              <w:rPr>
                <w:rFonts w:ascii="Verdana" w:hAnsi="Verdana" w:cs="Arial"/>
                <w:sz w:val="20"/>
                <w:szCs w:val="20"/>
              </w:rPr>
              <w:t xml:space="preserve"> y el pago de contratos de </w:t>
            </w:r>
            <w:r w:rsidRPr="00D8725F">
              <w:rPr>
                <w:rFonts w:ascii="Verdana" w:hAnsi="Verdana" w:cs="Arial"/>
                <w:sz w:val="20"/>
                <w:szCs w:val="20"/>
              </w:rPr>
              <w:t xml:space="preserve">Ximil Technologies SAS y con la </w:t>
            </w:r>
            <w:proofErr w:type="spellStart"/>
            <w:r w:rsidRPr="00D8725F">
              <w:rPr>
                <w:rFonts w:ascii="Verdana" w:hAnsi="Verdana" w:cs="Arial"/>
                <w:sz w:val="20"/>
                <w:szCs w:val="20"/>
              </w:rPr>
              <w:t>Un&amp;On</w:t>
            </w:r>
            <w:proofErr w:type="spellEnd"/>
            <w:r w:rsidRPr="00D8725F">
              <w:rPr>
                <w:rFonts w:ascii="Verdana" w:hAnsi="Verdana" w:cs="Arial"/>
                <w:sz w:val="20"/>
                <w:szCs w:val="20"/>
              </w:rPr>
              <w:t xml:space="preserve"> Soluciones Sistemas De Información S.A.S</w:t>
            </w:r>
            <w:r>
              <w:rPr>
                <w:rFonts w:ascii="Verdana" w:hAnsi="Verdana" w:cs="Arial"/>
                <w:sz w:val="20"/>
                <w:szCs w:val="20"/>
              </w:rPr>
              <w:t>.</w:t>
            </w:r>
          </w:p>
        </w:tc>
      </w:tr>
    </w:tbl>
    <w:p w:rsidR="00146E14" w:rsidRDefault="00146E14" w:rsidP="00FC33F3">
      <w:pPr>
        <w:jc w:val="both"/>
        <w:rPr>
          <w:rFonts w:ascii="Verdana" w:hAnsi="Verdana"/>
          <w:b/>
          <w:sz w:val="22"/>
        </w:rPr>
      </w:pPr>
    </w:p>
    <w:p w:rsidR="00770C44" w:rsidRDefault="00770C44" w:rsidP="00FC33F3">
      <w:pPr>
        <w:jc w:val="both"/>
        <w:rPr>
          <w:rFonts w:ascii="Verdana" w:hAnsi="Verdana"/>
          <w:b/>
          <w:sz w:val="22"/>
        </w:rPr>
      </w:pPr>
    </w:p>
    <w:p w:rsidR="00770C44" w:rsidRDefault="00770C44" w:rsidP="00FC33F3">
      <w:pPr>
        <w:jc w:val="both"/>
        <w:rPr>
          <w:rFonts w:ascii="Verdana" w:hAnsi="Verdana"/>
          <w:b/>
          <w:sz w:val="22"/>
        </w:rPr>
      </w:pPr>
    </w:p>
    <w:p w:rsidR="00FC33F3" w:rsidRPr="000F2DF5" w:rsidRDefault="00FC33F3" w:rsidP="00FC33F3">
      <w:pPr>
        <w:jc w:val="both"/>
        <w:rPr>
          <w:rFonts w:ascii="Verdana" w:hAnsi="Verdana"/>
          <w:b/>
          <w:sz w:val="22"/>
        </w:rPr>
      </w:pPr>
      <w:r w:rsidRPr="000F2DF5">
        <w:rPr>
          <w:rFonts w:ascii="Verdana" w:hAnsi="Verdana"/>
          <w:b/>
          <w:sz w:val="22"/>
        </w:rPr>
        <w:t>Proyecto de inversión C-0208-1000-6: Fortalecimiento de la Oferta Académica Internacional de Colombia en el Marco de la Cooperación Sur-Sur, Nacional</w:t>
      </w:r>
    </w:p>
    <w:tbl>
      <w:tblPr>
        <w:tblStyle w:val="Tablaconcuadrcula"/>
        <w:tblW w:w="0" w:type="auto"/>
        <w:tblLook w:val="04A0" w:firstRow="1" w:lastRow="0" w:firstColumn="1" w:lastColumn="0" w:noHBand="0" w:noVBand="1"/>
      </w:tblPr>
      <w:tblGrid>
        <w:gridCol w:w="6638"/>
        <w:gridCol w:w="6640"/>
      </w:tblGrid>
      <w:tr w:rsidR="00FC33F3" w:rsidRPr="003A4A1F" w:rsidTr="007337BD">
        <w:tc>
          <w:tcPr>
            <w:tcW w:w="6638" w:type="dxa"/>
          </w:tcPr>
          <w:p w:rsidR="00FC33F3" w:rsidRPr="00FD4820" w:rsidRDefault="00FC33F3" w:rsidP="007337BD">
            <w:pPr>
              <w:jc w:val="center"/>
              <w:rPr>
                <w:rFonts w:ascii="Verdana" w:hAnsi="Verdana"/>
                <w:b/>
              </w:rPr>
            </w:pPr>
            <w:r w:rsidRPr="00FD4820">
              <w:rPr>
                <w:rFonts w:ascii="Verdana" w:hAnsi="Verdana"/>
                <w:b/>
              </w:rPr>
              <w:t>Compromisos</w:t>
            </w:r>
          </w:p>
        </w:tc>
        <w:tc>
          <w:tcPr>
            <w:tcW w:w="6640" w:type="dxa"/>
          </w:tcPr>
          <w:p w:rsidR="00FC33F3" w:rsidRPr="00FD4820" w:rsidRDefault="00FC33F3" w:rsidP="007337BD">
            <w:pPr>
              <w:jc w:val="center"/>
              <w:rPr>
                <w:rFonts w:ascii="Verdana" w:hAnsi="Verdana"/>
                <w:b/>
              </w:rPr>
            </w:pPr>
            <w:r w:rsidRPr="00FD4820">
              <w:rPr>
                <w:rFonts w:ascii="Verdana" w:hAnsi="Verdana"/>
                <w:b/>
              </w:rPr>
              <w:t>Obligaciones</w:t>
            </w:r>
          </w:p>
        </w:tc>
      </w:tr>
      <w:tr w:rsidR="00FC33F3" w:rsidRPr="003A4A1F" w:rsidTr="007337BD">
        <w:tc>
          <w:tcPr>
            <w:tcW w:w="6638" w:type="dxa"/>
            <w:vAlign w:val="center"/>
          </w:tcPr>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Compromisos / Apropiación Vigente.</w:t>
            </w:r>
          </w:p>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BE00FA">
              <w:rPr>
                <w:rFonts w:ascii="Verdana" w:hAnsi="Verdana" w:cs="Arial"/>
                <w:sz w:val="20"/>
                <w:szCs w:val="20"/>
              </w:rPr>
              <w:t>1.323,6</w:t>
            </w:r>
            <w:r w:rsidR="00D41457">
              <w:rPr>
                <w:rFonts w:ascii="Verdana" w:hAnsi="Verdana" w:cs="Arial"/>
                <w:sz w:val="20"/>
                <w:szCs w:val="20"/>
              </w:rPr>
              <w:t xml:space="preserve"> </w:t>
            </w:r>
            <w:r w:rsidRPr="00FD4820">
              <w:rPr>
                <w:rFonts w:ascii="Verdana" w:hAnsi="Verdana"/>
                <w:sz w:val="20"/>
              </w:rPr>
              <w:t xml:space="preserve">/ 1.323,6 = </w:t>
            </w:r>
            <w:r w:rsidR="00D41457">
              <w:rPr>
                <w:rFonts w:ascii="Verdana" w:hAnsi="Verdana"/>
                <w:sz w:val="20"/>
              </w:rPr>
              <w:t>100</w:t>
            </w:r>
            <w:r w:rsidRPr="00FD4820">
              <w:rPr>
                <w:rFonts w:ascii="Verdana" w:hAnsi="Verdana"/>
                <w:sz w:val="20"/>
              </w:rPr>
              <w:t>%.</w:t>
            </w:r>
          </w:p>
          <w:p w:rsidR="00FC33F3" w:rsidRPr="00FD4820" w:rsidRDefault="00FC33F3" w:rsidP="007337BD">
            <w:pPr>
              <w:jc w:val="both"/>
              <w:rPr>
                <w:rFonts w:ascii="Verdana" w:hAnsi="Verdana"/>
                <w:sz w:val="20"/>
              </w:rPr>
            </w:pPr>
          </w:p>
          <w:p w:rsidR="00FC33F3" w:rsidRPr="00FD4820" w:rsidRDefault="00D41457" w:rsidP="00BD02AA">
            <w:pPr>
              <w:jc w:val="both"/>
            </w:pPr>
            <w:r>
              <w:rPr>
                <w:rFonts w:ascii="Verdana" w:hAnsi="Verdana"/>
                <w:sz w:val="20"/>
              </w:rPr>
              <w:t xml:space="preserve">Se ejecutaron recursos por valor de 1.323,5 millones equivalentes al 100%, presentando </w:t>
            </w:r>
            <w:r w:rsidR="00BD02AA">
              <w:rPr>
                <w:rFonts w:ascii="Verdana" w:hAnsi="Verdana"/>
                <w:sz w:val="20"/>
              </w:rPr>
              <w:t>el</w:t>
            </w:r>
            <w:r>
              <w:rPr>
                <w:rFonts w:ascii="Verdana" w:hAnsi="Verdana"/>
                <w:sz w:val="20"/>
              </w:rPr>
              <w:t xml:space="preserve"> total</w:t>
            </w:r>
            <w:r w:rsidR="00BD02AA">
              <w:rPr>
                <w:rFonts w:ascii="Verdana" w:hAnsi="Verdana"/>
                <w:sz w:val="20"/>
              </w:rPr>
              <w:t xml:space="preserve"> de</w:t>
            </w:r>
            <w:r>
              <w:rPr>
                <w:rFonts w:ascii="Verdana" w:hAnsi="Verdana"/>
                <w:sz w:val="20"/>
              </w:rPr>
              <w:t xml:space="preserve"> ejecución, debido </w:t>
            </w:r>
            <w:r w:rsidR="00BD02AA">
              <w:rPr>
                <w:rFonts w:ascii="Verdana" w:hAnsi="Verdana"/>
                <w:sz w:val="20"/>
              </w:rPr>
              <w:t xml:space="preserve">a </w:t>
            </w:r>
            <w:r>
              <w:rPr>
                <w:rFonts w:ascii="Verdana" w:hAnsi="Verdana"/>
                <w:sz w:val="20"/>
              </w:rPr>
              <w:t xml:space="preserve">que </w:t>
            </w:r>
            <w:r w:rsidR="00BD02AA">
              <w:rPr>
                <w:rFonts w:ascii="Verdana" w:hAnsi="Verdana"/>
                <w:sz w:val="20"/>
              </w:rPr>
              <w:t>ya</w:t>
            </w:r>
            <w:r w:rsidR="008F6DE4">
              <w:rPr>
                <w:rFonts w:ascii="Verdana" w:hAnsi="Verdana"/>
                <w:sz w:val="20"/>
              </w:rPr>
              <w:t xml:space="preserve"> se </w:t>
            </w:r>
            <w:r w:rsidR="00BD02AA">
              <w:rPr>
                <w:rFonts w:ascii="Verdana" w:hAnsi="Verdana"/>
                <w:sz w:val="20"/>
              </w:rPr>
              <w:t>tramito</w:t>
            </w:r>
            <w:r w:rsidR="008F6DE4">
              <w:rPr>
                <w:rFonts w:ascii="Verdana" w:hAnsi="Verdana"/>
                <w:sz w:val="20"/>
              </w:rPr>
              <w:t xml:space="preserve"> </w:t>
            </w:r>
            <w:r w:rsidRPr="00D41457">
              <w:rPr>
                <w:rFonts w:ascii="Verdana" w:hAnsi="Verdana"/>
                <w:sz w:val="20"/>
              </w:rPr>
              <w:t>el convenio con el ICETEX, el objeto del presente convenio es constituir y regular un fondo en administración denominado “Fondo apoyo a movilidad estudiantil y académica de la alianza pacífico” a estudiantes investigadores y docentes</w:t>
            </w:r>
            <w:r w:rsidR="00BA24A6">
              <w:rPr>
                <w:rFonts w:ascii="Verdana" w:hAnsi="Verdana"/>
                <w:sz w:val="20"/>
              </w:rPr>
              <w:t>.</w:t>
            </w:r>
          </w:p>
        </w:tc>
        <w:tc>
          <w:tcPr>
            <w:tcW w:w="6640" w:type="dxa"/>
            <w:vAlign w:val="center"/>
          </w:tcPr>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Obligaciones / Apropiación Vigente.</w:t>
            </w:r>
          </w:p>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BE00FA">
              <w:rPr>
                <w:rFonts w:ascii="Verdana" w:hAnsi="Verdana"/>
                <w:sz w:val="20"/>
              </w:rPr>
              <w:t>1.323,6 / 1.326,6</w:t>
            </w:r>
            <w:r w:rsidRPr="00FD4820">
              <w:rPr>
                <w:rFonts w:ascii="Verdana" w:hAnsi="Verdana"/>
                <w:sz w:val="20"/>
              </w:rPr>
              <w:t xml:space="preserve"> = </w:t>
            </w:r>
            <w:r w:rsidR="00BE00FA">
              <w:rPr>
                <w:rFonts w:ascii="Verdana" w:hAnsi="Verdana"/>
                <w:sz w:val="20"/>
              </w:rPr>
              <w:t>100</w:t>
            </w:r>
            <w:r w:rsidRPr="00FD4820">
              <w:rPr>
                <w:rFonts w:ascii="Verdana" w:hAnsi="Verdana"/>
                <w:sz w:val="20"/>
              </w:rPr>
              <w:t>%.</w:t>
            </w:r>
          </w:p>
          <w:p w:rsidR="00FC33F3" w:rsidRPr="00FD4820" w:rsidRDefault="00FC33F3" w:rsidP="007337BD">
            <w:pPr>
              <w:jc w:val="both"/>
              <w:rPr>
                <w:rFonts w:ascii="Verdana" w:hAnsi="Verdana"/>
                <w:sz w:val="20"/>
              </w:rPr>
            </w:pPr>
          </w:p>
          <w:p w:rsidR="00FC33F3" w:rsidRPr="00FD4820" w:rsidRDefault="00BA24A6" w:rsidP="00BE00FA">
            <w:pPr>
              <w:jc w:val="both"/>
            </w:pPr>
            <w:r w:rsidRPr="00FA79EC">
              <w:rPr>
                <w:rFonts w:ascii="Verdana" w:eastAsia="Times New Roman" w:hAnsi="Verdana" w:cs="Times New Roman"/>
                <w:sz w:val="20"/>
                <w:szCs w:val="20"/>
              </w:rPr>
              <w:t xml:space="preserve">Se obligaron recursos por valor de </w:t>
            </w:r>
            <w:r w:rsidR="00BE00FA">
              <w:rPr>
                <w:rFonts w:ascii="Verdana" w:eastAsia="Times New Roman" w:hAnsi="Verdana" w:cs="Times New Roman"/>
                <w:sz w:val="20"/>
                <w:szCs w:val="20"/>
              </w:rPr>
              <w:t>1.323,6</w:t>
            </w:r>
            <w:r w:rsidRPr="00FA79EC">
              <w:rPr>
                <w:rFonts w:ascii="Verdana" w:eastAsia="Times New Roman" w:hAnsi="Verdana" w:cs="Times New Roman"/>
                <w:sz w:val="20"/>
                <w:szCs w:val="20"/>
              </w:rPr>
              <w:t xml:space="preserve"> millones equivalentes al </w:t>
            </w:r>
            <w:r w:rsidR="00BE00FA">
              <w:rPr>
                <w:rFonts w:ascii="Verdana" w:eastAsia="Times New Roman" w:hAnsi="Verdana" w:cs="Times New Roman"/>
                <w:sz w:val="20"/>
                <w:szCs w:val="20"/>
              </w:rPr>
              <w:t>100</w:t>
            </w:r>
            <w:r w:rsidRPr="00FA79EC">
              <w:rPr>
                <w:rFonts w:ascii="Verdana" w:eastAsia="Times New Roman" w:hAnsi="Verdana" w:cs="Times New Roman"/>
                <w:sz w:val="20"/>
                <w:szCs w:val="20"/>
              </w:rPr>
              <w:t xml:space="preserve">% de la apropiación de inversión, frente a una meta del </w:t>
            </w:r>
            <w:r w:rsidR="00BE00FA">
              <w:rPr>
                <w:rFonts w:ascii="Verdana" w:eastAsia="Times New Roman" w:hAnsi="Verdana" w:cs="Times New Roman"/>
                <w:sz w:val="20"/>
                <w:szCs w:val="20"/>
              </w:rPr>
              <w:t>100</w:t>
            </w:r>
            <w:r w:rsidRPr="00FA79EC">
              <w:rPr>
                <w:rFonts w:ascii="Verdana" w:eastAsia="Times New Roman" w:hAnsi="Verdana" w:cs="Times New Roman"/>
                <w:sz w:val="20"/>
                <w:szCs w:val="20"/>
              </w:rPr>
              <w:t>%,</w:t>
            </w:r>
            <w:r>
              <w:rPr>
                <w:rFonts w:ascii="Verdana" w:eastAsia="Times New Roman" w:hAnsi="Verdana" w:cs="Times New Roman"/>
                <w:sz w:val="20"/>
                <w:szCs w:val="20"/>
              </w:rPr>
              <w:t xml:space="preserve"> se cumplió la meta, se tramito el </w:t>
            </w:r>
            <w:r w:rsidR="00BE00FA">
              <w:rPr>
                <w:rFonts w:ascii="Verdana" w:eastAsia="Times New Roman" w:hAnsi="Verdana" w:cs="Times New Roman"/>
                <w:sz w:val="20"/>
                <w:szCs w:val="20"/>
              </w:rPr>
              <w:t>segundo</w:t>
            </w:r>
            <w:r>
              <w:rPr>
                <w:rFonts w:ascii="Verdana" w:eastAsia="Times New Roman" w:hAnsi="Verdana" w:cs="Times New Roman"/>
                <w:sz w:val="20"/>
                <w:szCs w:val="20"/>
              </w:rPr>
              <w:t xml:space="preserve"> pago del convenio con el </w:t>
            </w:r>
            <w:r w:rsidRPr="00D41457">
              <w:rPr>
                <w:rFonts w:ascii="Verdana" w:hAnsi="Verdana"/>
                <w:sz w:val="20"/>
              </w:rPr>
              <w:t>ICETEX, el objeto del presente convenio es constituir y regular un fondo en administración denominado “Fondo apoyo a movilidad estudiantil y académica de la alianza pacífico” a estudiantes investigadores y docentes</w:t>
            </w:r>
            <w:r>
              <w:rPr>
                <w:rFonts w:ascii="Verdana" w:hAnsi="Verdana"/>
                <w:sz w:val="20"/>
              </w:rPr>
              <w:t>.</w:t>
            </w:r>
          </w:p>
        </w:tc>
      </w:tr>
    </w:tbl>
    <w:p w:rsidR="00FC33F3" w:rsidRPr="003A4A1F" w:rsidRDefault="00FC33F3" w:rsidP="00FC33F3">
      <w:pPr>
        <w:jc w:val="both"/>
        <w:rPr>
          <w:highlight w:val="yellow"/>
        </w:rPr>
      </w:pPr>
    </w:p>
    <w:p w:rsidR="00A34364" w:rsidRDefault="00A34364" w:rsidP="00FC33F3">
      <w:pPr>
        <w:jc w:val="both"/>
        <w:rPr>
          <w:rFonts w:ascii="Verdana" w:hAnsi="Verdana"/>
          <w:b/>
          <w:sz w:val="22"/>
        </w:rPr>
      </w:pPr>
    </w:p>
    <w:p w:rsidR="00396EB5" w:rsidRDefault="00396EB5" w:rsidP="00FC33F3">
      <w:pPr>
        <w:jc w:val="both"/>
        <w:rPr>
          <w:rFonts w:ascii="Verdana" w:hAnsi="Verdana"/>
          <w:b/>
          <w:sz w:val="22"/>
        </w:rPr>
      </w:pPr>
    </w:p>
    <w:p w:rsidR="00FC33F3" w:rsidRPr="00FD4820" w:rsidRDefault="00FC33F3" w:rsidP="00FC33F3">
      <w:pPr>
        <w:jc w:val="both"/>
        <w:rPr>
          <w:rFonts w:ascii="Verdana" w:hAnsi="Verdana"/>
          <w:b/>
          <w:sz w:val="22"/>
        </w:rPr>
      </w:pPr>
      <w:r w:rsidRPr="00FD4820">
        <w:rPr>
          <w:rFonts w:ascii="Verdana" w:hAnsi="Verdana"/>
          <w:b/>
          <w:sz w:val="22"/>
        </w:rPr>
        <w:t>Proyecto de inversión C-0208-1000-7: Implementación de Proyectos de Cooperación Internacional No Reembolsable con Aporte de Recursos de Contrapartida, Nacional</w:t>
      </w:r>
    </w:p>
    <w:tbl>
      <w:tblPr>
        <w:tblStyle w:val="Tablaconcuadrcula"/>
        <w:tblW w:w="0" w:type="auto"/>
        <w:tblLook w:val="04A0" w:firstRow="1" w:lastRow="0" w:firstColumn="1" w:lastColumn="0" w:noHBand="0" w:noVBand="1"/>
      </w:tblPr>
      <w:tblGrid>
        <w:gridCol w:w="6638"/>
        <w:gridCol w:w="6640"/>
      </w:tblGrid>
      <w:tr w:rsidR="00FC33F3" w:rsidRPr="00FD4820" w:rsidTr="007337BD">
        <w:tc>
          <w:tcPr>
            <w:tcW w:w="6638" w:type="dxa"/>
          </w:tcPr>
          <w:p w:rsidR="00FC33F3" w:rsidRPr="00FD4820" w:rsidRDefault="00FC33F3" w:rsidP="007337BD">
            <w:pPr>
              <w:jc w:val="center"/>
              <w:rPr>
                <w:rFonts w:ascii="Verdana" w:hAnsi="Verdana"/>
                <w:b/>
              </w:rPr>
            </w:pPr>
            <w:r w:rsidRPr="00FD4820">
              <w:rPr>
                <w:rFonts w:ascii="Verdana" w:hAnsi="Verdana"/>
                <w:b/>
              </w:rPr>
              <w:t>Compromisos</w:t>
            </w:r>
          </w:p>
        </w:tc>
        <w:tc>
          <w:tcPr>
            <w:tcW w:w="6640" w:type="dxa"/>
          </w:tcPr>
          <w:p w:rsidR="00FC33F3" w:rsidRPr="00FD4820" w:rsidRDefault="00FC33F3" w:rsidP="007337BD">
            <w:pPr>
              <w:jc w:val="center"/>
              <w:rPr>
                <w:rFonts w:ascii="Verdana" w:hAnsi="Verdana"/>
                <w:b/>
              </w:rPr>
            </w:pPr>
            <w:r w:rsidRPr="00FD4820">
              <w:rPr>
                <w:rFonts w:ascii="Verdana" w:hAnsi="Verdana"/>
                <w:b/>
              </w:rPr>
              <w:t>Obligaciones</w:t>
            </w:r>
          </w:p>
        </w:tc>
      </w:tr>
      <w:tr w:rsidR="00FC33F3" w:rsidRPr="003A4A1F" w:rsidTr="007337BD">
        <w:tc>
          <w:tcPr>
            <w:tcW w:w="6638" w:type="dxa"/>
            <w:vAlign w:val="center"/>
          </w:tcPr>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Compromisos / Apropiación Vigente.</w:t>
            </w:r>
          </w:p>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1E0B18">
              <w:rPr>
                <w:rFonts w:ascii="Verdana" w:hAnsi="Verdana"/>
                <w:sz w:val="20"/>
              </w:rPr>
              <w:t>865,0</w:t>
            </w:r>
            <w:r w:rsidRPr="00FD4820">
              <w:rPr>
                <w:rFonts w:ascii="Verdana" w:hAnsi="Verdana"/>
                <w:sz w:val="20"/>
              </w:rPr>
              <w:t xml:space="preserve"> / 2.647,2 = </w:t>
            </w:r>
            <w:r w:rsidR="001E0B18">
              <w:rPr>
                <w:rFonts w:ascii="Verdana" w:hAnsi="Verdana"/>
                <w:sz w:val="20"/>
              </w:rPr>
              <w:t>32,68</w:t>
            </w:r>
            <w:r w:rsidRPr="00FD4820">
              <w:rPr>
                <w:rFonts w:ascii="Verdana" w:hAnsi="Verdana"/>
                <w:sz w:val="20"/>
              </w:rPr>
              <w:t>%.</w:t>
            </w:r>
          </w:p>
          <w:p w:rsidR="00FC33F3" w:rsidRDefault="00FC33F3" w:rsidP="007337BD">
            <w:pPr>
              <w:jc w:val="both"/>
              <w:rPr>
                <w:rFonts w:ascii="Verdana" w:hAnsi="Verdana"/>
                <w:sz w:val="20"/>
              </w:rPr>
            </w:pPr>
          </w:p>
          <w:p w:rsidR="001E0B18" w:rsidRDefault="000F2DF5" w:rsidP="001E0B18">
            <w:pPr>
              <w:jc w:val="both"/>
              <w:rPr>
                <w:rFonts w:ascii="Verdana" w:hAnsi="Verdana" w:cs="Arial"/>
                <w:sz w:val="20"/>
                <w:szCs w:val="20"/>
              </w:rPr>
            </w:pPr>
            <w:r>
              <w:rPr>
                <w:rFonts w:ascii="Verdana" w:hAnsi="Verdana"/>
                <w:sz w:val="20"/>
              </w:rPr>
              <w:t xml:space="preserve">Se ejecutaron recursos por valor de </w:t>
            </w:r>
            <w:r w:rsidR="001E0B18">
              <w:rPr>
                <w:rFonts w:ascii="Verdana" w:hAnsi="Verdana"/>
                <w:sz w:val="20"/>
              </w:rPr>
              <w:t>865,0 millones equivalentes al 32,68</w:t>
            </w:r>
            <w:r>
              <w:rPr>
                <w:rFonts w:ascii="Verdana" w:hAnsi="Verdana"/>
                <w:sz w:val="20"/>
              </w:rPr>
              <w:t xml:space="preserve">%, </w:t>
            </w:r>
            <w:r w:rsidR="00B43230" w:rsidRPr="00377A56">
              <w:rPr>
                <w:rFonts w:ascii="Verdana" w:hAnsi="Verdana"/>
                <w:sz w:val="20"/>
                <w:szCs w:val="20"/>
              </w:rPr>
              <w:t xml:space="preserve">frente a una meta del </w:t>
            </w:r>
            <w:r w:rsidR="001E0B18">
              <w:rPr>
                <w:rFonts w:ascii="Verdana" w:hAnsi="Verdana"/>
                <w:sz w:val="20"/>
                <w:szCs w:val="20"/>
              </w:rPr>
              <w:t>63,77</w:t>
            </w:r>
            <w:r w:rsidR="00B43230" w:rsidRPr="00377A56">
              <w:rPr>
                <w:rFonts w:ascii="Verdana" w:hAnsi="Verdana"/>
                <w:sz w:val="20"/>
                <w:szCs w:val="20"/>
              </w:rPr>
              <w:t xml:space="preserve">%, </w:t>
            </w:r>
            <w:r w:rsidR="00126B25">
              <w:rPr>
                <w:rFonts w:ascii="Verdana" w:hAnsi="Verdana"/>
                <w:sz w:val="20"/>
                <w:szCs w:val="20"/>
              </w:rPr>
              <w:t xml:space="preserve">presentando un Déficit en la ejecución de 823,1 millones, no se tramitaron todos los contratos que se tenían previstos para el mes de agosto, a </w:t>
            </w:r>
            <w:r w:rsidR="00126B25">
              <w:rPr>
                <w:rFonts w:ascii="Verdana" w:hAnsi="Verdana"/>
                <w:sz w:val="20"/>
                <w:szCs w:val="20"/>
              </w:rPr>
              <w:lastRenderedPageBreak/>
              <w:t xml:space="preserve">pesar del déficit presentado </w:t>
            </w:r>
            <w:r w:rsidR="00126B25">
              <w:rPr>
                <w:rFonts w:ascii="Verdana" w:hAnsi="Verdana"/>
                <w:sz w:val="20"/>
              </w:rPr>
              <w:t xml:space="preserve">se tramitaron </w:t>
            </w:r>
            <w:r w:rsidR="001E0B18">
              <w:rPr>
                <w:rFonts w:ascii="Verdana" w:hAnsi="Verdana" w:cs="Arial"/>
                <w:sz w:val="20"/>
                <w:szCs w:val="20"/>
              </w:rPr>
              <w:t>los Convenios interadministrativos, con el Hospital local de T</w:t>
            </w:r>
            <w:r w:rsidR="001E0B18" w:rsidRPr="00BD6CAD">
              <w:rPr>
                <w:rFonts w:ascii="Verdana" w:hAnsi="Verdana" w:cs="Arial"/>
                <w:sz w:val="20"/>
                <w:szCs w:val="20"/>
              </w:rPr>
              <w:t>auramena mediante el aporte de recursos de contrapartida nacional para la dotación de equipos odontológicos y rehabilitación</w:t>
            </w:r>
            <w:r w:rsidR="001E0B18">
              <w:rPr>
                <w:rFonts w:ascii="Verdana" w:hAnsi="Verdana" w:cs="Arial"/>
                <w:sz w:val="20"/>
                <w:szCs w:val="20"/>
              </w:rPr>
              <w:t>, convenio de asociación  con La Fundación Plan,</w:t>
            </w:r>
            <w:r w:rsidR="001E0B18" w:rsidRPr="00C00B2D">
              <w:rPr>
                <w:rFonts w:ascii="Verdana" w:hAnsi="Verdana" w:cs="Arial"/>
                <w:sz w:val="20"/>
                <w:szCs w:val="20"/>
              </w:rPr>
              <w:t xml:space="preserve"> para apoyar la constitución de los Grupos de Ahorro y Crédito Local, y el proceso de formación en emprendimiento en tres municipios PDET: Tumaco, Buenaventura y Quibdó</w:t>
            </w:r>
            <w:r w:rsidR="001E0B18">
              <w:rPr>
                <w:rFonts w:ascii="Verdana" w:hAnsi="Verdana" w:cs="Arial"/>
                <w:sz w:val="20"/>
                <w:szCs w:val="20"/>
              </w:rPr>
              <w:t xml:space="preserve"> y el Convenio con La </w:t>
            </w:r>
            <w:r w:rsidR="001E0B18" w:rsidRPr="00B93C7F">
              <w:rPr>
                <w:rFonts w:ascii="Verdana" w:hAnsi="Verdana" w:cs="Arial"/>
                <w:sz w:val="20"/>
                <w:szCs w:val="20"/>
              </w:rPr>
              <w:t>Fundación Para El Desarrollo Integral Del Pacifico</w:t>
            </w:r>
            <w:r w:rsidR="001E0B18">
              <w:rPr>
                <w:rFonts w:ascii="Verdana" w:hAnsi="Verdana" w:cs="Arial"/>
                <w:sz w:val="20"/>
                <w:szCs w:val="20"/>
              </w:rPr>
              <w:t>,</w:t>
            </w:r>
            <w:r w:rsidR="001E0B18">
              <w:t xml:space="preserve"> </w:t>
            </w:r>
            <w:r w:rsidR="001E0B18" w:rsidRPr="000E72B5">
              <w:rPr>
                <w:rFonts w:ascii="Verdana" w:hAnsi="Verdana" w:cs="Arial"/>
                <w:sz w:val="20"/>
                <w:szCs w:val="20"/>
              </w:rPr>
              <w:t xml:space="preserve">diseñar un modelo de gobernanza territorial </w:t>
            </w:r>
            <w:r w:rsidR="001E0B18">
              <w:rPr>
                <w:rFonts w:ascii="Verdana" w:hAnsi="Verdana" w:cs="Arial"/>
                <w:sz w:val="20"/>
                <w:szCs w:val="20"/>
              </w:rPr>
              <w:t xml:space="preserve"> </w:t>
            </w:r>
            <w:r w:rsidR="001E0B18" w:rsidRPr="00B93C7F">
              <w:rPr>
                <w:rFonts w:ascii="Verdana" w:hAnsi="Verdana" w:cs="Arial"/>
                <w:sz w:val="20"/>
                <w:szCs w:val="20"/>
              </w:rPr>
              <w:t>para mejorar la gestión hospitalaria en dos instituciones prestadoras de servicios de salud</w:t>
            </w:r>
            <w:r w:rsidR="001E0B18">
              <w:rPr>
                <w:rFonts w:ascii="Verdana" w:hAnsi="Verdana" w:cs="Arial"/>
                <w:sz w:val="20"/>
                <w:szCs w:val="20"/>
              </w:rPr>
              <w:t>.</w:t>
            </w:r>
          </w:p>
          <w:p w:rsidR="000F2DF5" w:rsidRPr="00FD4820" w:rsidRDefault="000F2DF5" w:rsidP="007337BD">
            <w:pPr>
              <w:jc w:val="both"/>
              <w:rPr>
                <w:rFonts w:ascii="Verdana" w:hAnsi="Verdana"/>
                <w:sz w:val="20"/>
              </w:rPr>
            </w:pPr>
          </w:p>
          <w:p w:rsidR="00FC33F3" w:rsidRPr="00FD4820" w:rsidRDefault="00FC33F3" w:rsidP="00CE57ED">
            <w:pPr>
              <w:jc w:val="both"/>
            </w:pPr>
          </w:p>
        </w:tc>
        <w:tc>
          <w:tcPr>
            <w:tcW w:w="6640" w:type="dxa"/>
            <w:vAlign w:val="center"/>
          </w:tcPr>
          <w:p w:rsidR="00FC33F3" w:rsidRPr="00FD4820" w:rsidRDefault="00FC33F3" w:rsidP="007337BD">
            <w:pPr>
              <w:jc w:val="both"/>
              <w:rPr>
                <w:rFonts w:ascii="Verdana" w:hAnsi="Verdana"/>
                <w:sz w:val="20"/>
              </w:rPr>
            </w:pPr>
            <w:r w:rsidRPr="00FD4820">
              <w:rPr>
                <w:rFonts w:ascii="Verdana" w:hAnsi="Verdana"/>
                <w:b/>
                <w:sz w:val="20"/>
              </w:rPr>
              <w:lastRenderedPageBreak/>
              <w:t>Indicador:</w:t>
            </w:r>
            <w:r w:rsidRPr="00FD4820">
              <w:rPr>
                <w:rFonts w:ascii="Verdana" w:hAnsi="Verdana"/>
                <w:sz w:val="20"/>
              </w:rPr>
              <w:t xml:space="preserve"> Ejecución Obligaciones / Apropiación Vigente.</w:t>
            </w:r>
          </w:p>
          <w:p w:rsidR="00FC33F3"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D530EF">
              <w:rPr>
                <w:rFonts w:ascii="Verdana" w:hAnsi="Verdana"/>
                <w:sz w:val="20"/>
              </w:rPr>
              <w:t>459,</w:t>
            </w:r>
            <w:r w:rsidR="00126B25">
              <w:rPr>
                <w:rFonts w:ascii="Verdana" w:hAnsi="Verdana"/>
                <w:sz w:val="20"/>
              </w:rPr>
              <w:t>1</w:t>
            </w:r>
            <w:r w:rsidR="009D3532" w:rsidRPr="00FD4820">
              <w:rPr>
                <w:rFonts w:ascii="Verdana" w:hAnsi="Verdana"/>
                <w:sz w:val="20"/>
              </w:rPr>
              <w:t xml:space="preserve"> / 2.647,2 = </w:t>
            </w:r>
            <w:r w:rsidR="00126B25">
              <w:rPr>
                <w:rFonts w:ascii="Verdana" w:hAnsi="Verdana"/>
                <w:sz w:val="20"/>
              </w:rPr>
              <w:t>17,34</w:t>
            </w:r>
            <w:r w:rsidR="009D3532" w:rsidRPr="00FD4820">
              <w:rPr>
                <w:rFonts w:ascii="Verdana" w:hAnsi="Verdana"/>
                <w:sz w:val="20"/>
              </w:rPr>
              <w:t>%.</w:t>
            </w:r>
          </w:p>
          <w:p w:rsidR="009D3532" w:rsidRDefault="009D3532" w:rsidP="007337BD">
            <w:pPr>
              <w:jc w:val="both"/>
              <w:rPr>
                <w:rFonts w:ascii="Verdana" w:hAnsi="Verdana"/>
                <w:sz w:val="20"/>
              </w:rPr>
            </w:pPr>
          </w:p>
          <w:p w:rsidR="009D3532" w:rsidRDefault="009D3532" w:rsidP="007337BD">
            <w:pPr>
              <w:jc w:val="both"/>
              <w:rPr>
                <w:rFonts w:ascii="Verdana" w:hAnsi="Verdana"/>
                <w:sz w:val="20"/>
              </w:rPr>
            </w:pPr>
            <w:r w:rsidRPr="00FA79EC">
              <w:rPr>
                <w:rFonts w:ascii="Verdana" w:eastAsia="Times New Roman" w:hAnsi="Verdana" w:cs="Times New Roman"/>
                <w:sz w:val="20"/>
                <w:szCs w:val="20"/>
              </w:rPr>
              <w:t xml:space="preserve">Se obligaron recursos por valor de </w:t>
            </w:r>
            <w:r w:rsidR="00126B25">
              <w:rPr>
                <w:rFonts w:ascii="Verdana" w:hAnsi="Verdana"/>
                <w:sz w:val="20"/>
              </w:rPr>
              <w:t>459,1</w:t>
            </w:r>
            <w:r>
              <w:rPr>
                <w:rFonts w:ascii="Verdana" w:hAnsi="Verdana"/>
                <w:sz w:val="20"/>
              </w:rPr>
              <w:t xml:space="preserve"> </w:t>
            </w:r>
            <w:r w:rsidRPr="00FA79EC">
              <w:rPr>
                <w:rFonts w:ascii="Verdana" w:eastAsia="Times New Roman" w:hAnsi="Verdana" w:cs="Times New Roman"/>
                <w:sz w:val="20"/>
                <w:szCs w:val="20"/>
              </w:rPr>
              <w:t xml:space="preserve">millones equivalentes al </w:t>
            </w:r>
            <w:r w:rsidR="00126B25">
              <w:rPr>
                <w:rFonts w:ascii="Verdana" w:eastAsia="Times New Roman" w:hAnsi="Verdana" w:cs="Times New Roman"/>
                <w:sz w:val="20"/>
                <w:szCs w:val="20"/>
              </w:rPr>
              <w:t>17,34</w:t>
            </w:r>
            <w:r w:rsidRPr="00FA79EC">
              <w:rPr>
                <w:rFonts w:ascii="Verdana" w:eastAsia="Times New Roman" w:hAnsi="Verdana" w:cs="Times New Roman"/>
                <w:sz w:val="20"/>
                <w:szCs w:val="20"/>
              </w:rPr>
              <w:t xml:space="preserve">% de la apropiación de inversión, frente a una meta del </w:t>
            </w:r>
            <w:r w:rsidR="00D530EF">
              <w:rPr>
                <w:rFonts w:ascii="Verdana" w:eastAsia="Times New Roman" w:hAnsi="Verdana" w:cs="Times New Roman"/>
                <w:sz w:val="20"/>
                <w:szCs w:val="20"/>
              </w:rPr>
              <w:t>41,87</w:t>
            </w:r>
            <w:r w:rsidRPr="00FA79EC">
              <w:rPr>
                <w:rFonts w:ascii="Verdana" w:eastAsia="Times New Roman" w:hAnsi="Verdana" w:cs="Times New Roman"/>
                <w:sz w:val="20"/>
                <w:szCs w:val="20"/>
              </w:rPr>
              <w:t>%,</w:t>
            </w:r>
            <w:r>
              <w:rPr>
                <w:rFonts w:ascii="Verdana" w:eastAsia="Times New Roman" w:hAnsi="Verdana" w:cs="Times New Roman"/>
                <w:sz w:val="20"/>
                <w:szCs w:val="20"/>
              </w:rPr>
              <w:t xml:space="preserve"> </w:t>
            </w:r>
            <w:r w:rsidR="004A32FE">
              <w:rPr>
                <w:rFonts w:ascii="Verdana" w:eastAsia="Times New Roman" w:hAnsi="Verdana" w:cs="Times New Roman"/>
                <w:sz w:val="20"/>
                <w:szCs w:val="20"/>
              </w:rPr>
              <w:t xml:space="preserve">presentado déficit en las obligaciones presupuestales de  649,3 millones </w:t>
            </w:r>
            <w:r>
              <w:rPr>
                <w:rFonts w:ascii="Verdana" w:eastAsia="Times New Roman" w:hAnsi="Verdana" w:cs="Times New Roman"/>
                <w:sz w:val="20"/>
                <w:szCs w:val="20"/>
              </w:rPr>
              <w:t>,</w:t>
            </w:r>
            <w:r w:rsidR="004A32FE">
              <w:rPr>
                <w:rFonts w:ascii="Verdana" w:hAnsi="Verdana"/>
                <w:sz w:val="20"/>
                <w:szCs w:val="20"/>
              </w:rPr>
              <w:t xml:space="preserve"> no se tramitaron todos los contratos que se </w:t>
            </w:r>
            <w:r w:rsidR="004A32FE">
              <w:rPr>
                <w:rFonts w:ascii="Verdana" w:hAnsi="Verdana"/>
                <w:sz w:val="20"/>
                <w:szCs w:val="20"/>
              </w:rPr>
              <w:lastRenderedPageBreak/>
              <w:t>tenían previstos para el mes de agosto</w:t>
            </w:r>
            <w:r w:rsidR="004A32FE">
              <w:rPr>
                <w:rFonts w:ascii="Verdana" w:eastAsia="Times New Roman" w:hAnsi="Verdana" w:cs="Times New Roman"/>
                <w:sz w:val="20"/>
                <w:szCs w:val="20"/>
              </w:rPr>
              <w:t xml:space="preserve"> y así mismo sus </w:t>
            </w:r>
            <w:r w:rsidR="00C91DA0">
              <w:rPr>
                <w:rFonts w:ascii="Verdana" w:eastAsia="Times New Roman" w:hAnsi="Verdana" w:cs="Times New Roman"/>
                <w:sz w:val="20"/>
                <w:szCs w:val="20"/>
              </w:rPr>
              <w:t xml:space="preserve">respectivos </w:t>
            </w:r>
            <w:r w:rsidR="004A32FE">
              <w:rPr>
                <w:rFonts w:ascii="Verdana" w:eastAsia="Times New Roman" w:hAnsi="Verdana" w:cs="Times New Roman"/>
                <w:sz w:val="20"/>
                <w:szCs w:val="20"/>
              </w:rPr>
              <w:t>pagos.</w:t>
            </w:r>
            <w:r w:rsidR="004A32FE">
              <w:rPr>
                <w:rFonts w:ascii="Verdana" w:hAnsi="Verdana"/>
                <w:sz w:val="20"/>
              </w:rPr>
              <w:t xml:space="preserve"> </w:t>
            </w:r>
          </w:p>
          <w:p w:rsidR="009D3532" w:rsidRPr="00FD4820" w:rsidRDefault="009D3532" w:rsidP="007337BD">
            <w:pPr>
              <w:jc w:val="both"/>
              <w:rPr>
                <w:rFonts w:ascii="Verdana" w:hAnsi="Verdana"/>
                <w:sz w:val="20"/>
              </w:rPr>
            </w:pPr>
          </w:p>
          <w:p w:rsidR="00FC33F3" w:rsidRPr="00FD4820" w:rsidRDefault="00FC33F3" w:rsidP="00A7693C">
            <w:pPr>
              <w:jc w:val="both"/>
            </w:pPr>
          </w:p>
        </w:tc>
      </w:tr>
    </w:tbl>
    <w:p w:rsidR="00FC33F3" w:rsidRPr="003A4A1F" w:rsidRDefault="00FC33F3" w:rsidP="00B9595B">
      <w:pPr>
        <w:rPr>
          <w:rFonts w:ascii="Verdana" w:hAnsi="Verdana"/>
          <w:b/>
          <w:sz w:val="20"/>
          <w:szCs w:val="20"/>
          <w:highlight w:val="yellow"/>
        </w:rPr>
      </w:pPr>
    </w:p>
    <w:p w:rsidR="00A34364" w:rsidRDefault="00A34364" w:rsidP="00560B40">
      <w:pPr>
        <w:jc w:val="both"/>
        <w:rPr>
          <w:rFonts w:ascii="Verdana" w:hAnsi="Verdana"/>
          <w:b/>
          <w:sz w:val="22"/>
        </w:rPr>
      </w:pPr>
    </w:p>
    <w:p w:rsidR="00213FF2" w:rsidRDefault="00213FF2" w:rsidP="00560B40">
      <w:pPr>
        <w:jc w:val="both"/>
        <w:rPr>
          <w:rFonts w:ascii="Verdana" w:hAnsi="Verdana"/>
          <w:b/>
          <w:sz w:val="22"/>
        </w:rPr>
      </w:pPr>
    </w:p>
    <w:p w:rsidR="00283B0B" w:rsidRPr="00210E47" w:rsidRDefault="00283B0B" w:rsidP="00560B40">
      <w:pPr>
        <w:jc w:val="both"/>
        <w:rPr>
          <w:rFonts w:ascii="Verdana" w:hAnsi="Verdana"/>
          <w:b/>
          <w:sz w:val="22"/>
        </w:rPr>
      </w:pPr>
      <w:r w:rsidRPr="00BA0961">
        <w:rPr>
          <w:rFonts w:ascii="Verdana" w:hAnsi="Verdana"/>
          <w:b/>
          <w:sz w:val="22"/>
        </w:rPr>
        <w:t>Pro</w:t>
      </w:r>
      <w:r w:rsidR="00590D81" w:rsidRPr="00BA0961">
        <w:rPr>
          <w:rFonts w:ascii="Verdana" w:hAnsi="Verdana"/>
          <w:b/>
          <w:sz w:val="22"/>
        </w:rPr>
        <w:t>yecto de inversión C-0208-1000-9</w:t>
      </w:r>
      <w:r w:rsidRPr="00BA0961">
        <w:rPr>
          <w:rFonts w:ascii="Verdana" w:hAnsi="Verdana"/>
          <w:b/>
          <w:sz w:val="22"/>
        </w:rPr>
        <w:t xml:space="preserve">: </w:t>
      </w:r>
      <w:r w:rsidR="00590D81" w:rsidRPr="00BA0961">
        <w:rPr>
          <w:rFonts w:ascii="Verdana" w:hAnsi="Verdana"/>
          <w:b/>
          <w:sz w:val="22"/>
        </w:rPr>
        <w:t>Administración, Ejecución y Seguimiento de Recursos de Cooperación Internacional a Nivel Nacional</w:t>
      </w:r>
    </w:p>
    <w:tbl>
      <w:tblPr>
        <w:tblStyle w:val="Tablaconcuadrcula"/>
        <w:tblW w:w="0" w:type="auto"/>
        <w:tblLook w:val="04A0" w:firstRow="1" w:lastRow="0" w:firstColumn="1" w:lastColumn="0" w:noHBand="0" w:noVBand="1"/>
      </w:tblPr>
      <w:tblGrid>
        <w:gridCol w:w="6638"/>
        <w:gridCol w:w="6640"/>
      </w:tblGrid>
      <w:tr w:rsidR="00283B0B" w:rsidRPr="003A4A1F" w:rsidTr="008F217D">
        <w:tc>
          <w:tcPr>
            <w:tcW w:w="6638" w:type="dxa"/>
          </w:tcPr>
          <w:p w:rsidR="00283B0B" w:rsidRPr="00210E47" w:rsidRDefault="00283B0B" w:rsidP="008F217D">
            <w:pPr>
              <w:jc w:val="center"/>
              <w:rPr>
                <w:rFonts w:ascii="Verdana" w:hAnsi="Verdana"/>
                <w:b/>
              </w:rPr>
            </w:pPr>
            <w:r w:rsidRPr="00210E47">
              <w:rPr>
                <w:rFonts w:ascii="Verdana" w:hAnsi="Verdana"/>
                <w:b/>
              </w:rPr>
              <w:t>Compromisos</w:t>
            </w:r>
          </w:p>
        </w:tc>
        <w:tc>
          <w:tcPr>
            <w:tcW w:w="6640" w:type="dxa"/>
          </w:tcPr>
          <w:p w:rsidR="00283B0B" w:rsidRPr="00FD4820" w:rsidRDefault="00283B0B" w:rsidP="008F217D">
            <w:pPr>
              <w:jc w:val="center"/>
              <w:rPr>
                <w:rFonts w:ascii="Verdana" w:hAnsi="Verdana"/>
                <w:b/>
              </w:rPr>
            </w:pPr>
            <w:r w:rsidRPr="00210E47">
              <w:rPr>
                <w:rFonts w:ascii="Verdana" w:hAnsi="Verdana"/>
                <w:b/>
              </w:rPr>
              <w:t>Obligaciones</w:t>
            </w:r>
          </w:p>
        </w:tc>
      </w:tr>
      <w:tr w:rsidR="00283B0B" w:rsidRPr="003A4A1F" w:rsidTr="008F217D">
        <w:tc>
          <w:tcPr>
            <w:tcW w:w="6638" w:type="dxa"/>
            <w:vAlign w:val="center"/>
          </w:tcPr>
          <w:p w:rsidR="00283B0B" w:rsidRPr="00FD4820" w:rsidRDefault="00283B0B" w:rsidP="008F217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Compromisos / Apropiación Vigente.</w:t>
            </w:r>
          </w:p>
          <w:p w:rsidR="00283B0B" w:rsidRPr="00FD4820" w:rsidRDefault="00283B0B" w:rsidP="008F217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D029CB">
              <w:rPr>
                <w:rFonts w:ascii="Verdana" w:hAnsi="Verdana"/>
                <w:sz w:val="20"/>
              </w:rPr>
              <w:t>16.245,2</w:t>
            </w:r>
            <w:r w:rsidR="00590D81" w:rsidRPr="00FD4820">
              <w:rPr>
                <w:rFonts w:ascii="Verdana" w:hAnsi="Verdana"/>
                <w:sz w:val="20"/>
              </w:rPr>
              <w:t xml:space="preserve"> </w:t>
            </w:r>
            <w:r w:rsidRPr="00FD4820">
              <w:rPr>
                <w:rFonts w:ascii="Verdana" w:hAnsi="Verdana"/>
                <w:sz w:val="20"/>
              </w:rPr>
              <w:t xml:space="preserve">/ </w:t>
            </w:r>
            <w:r w:rsidR="00FD4820">
              <w:rPr>
                <w:rFonts w:ascii="Verdana" w:hAnsi="Verdana"/>
                <w:sz w:val="20"/>
              </w:rPr>
              <w:t xml:space="preserve">60.891,0 = </w:t>
            </w:r>
            <w:r w:rsidR="00D029CB">
              <w:rPr>
                <w:rFonts w:ascii="Verdana" w:hAnsi="Verdana"/>
                <w:sz w:val="20"/>
              </w:rPr>
              <w:t>26,68</w:t>
            </w:r>
            <w:r w:rsidRPr="00FD4820">
              <w:rPr>
                <w:rFonts w:ascii="Verdana" w:hAnsi="Verdana"/>
                <w:sz w:val="20"/>
              </w:rPr>
              <w:t>%.</w:t>
            </w:r>
          </w:p>
          <w:p w:rsidR="00283B0B" w:rsidRPr="003A4A1F" w:rsidRDefault="00283B0B" w:rsidP="008F217D">
            <w:pPr>
              <w:jc w:val="both"/>
              <w:rPr>
                <w:rFonts w:ascii="Verdana" w:hAnsi="Verdana"/>
                <w:sz w:val="20"/>
                <w:highlight w:val="yellow"/>
              </w:rPr>
            </w:pPr>
          </w:p>
          <w:p w:rsidR="00F90546" w:rsidRDefault="00590D81" w:rsidP="000670E3">
            <w:pPr>
              <w:jc w:val="both"/>
              <w:rPr>
                <w:rFonts w:ascii="Verdana" w:hAnsi="Verdana" w:cs="Arial"/>
                <w:sz w:val="20"/>
                <w:szCs w:val="20"/>
              </w:rPr>
            </w:pPr>
            <w:r w:rsidRPr="009337FE">
              <w:rPr>
                <w:rFonts w:ascii="Verdana" w:eastAsia="Times New Roman" w:hAnsi="Verdana" w:cs="Times New Roman"/>
                <w:sz w:val="20"/>
                <w:szCs w:val="20"/>
              </w:rPr>
              <w:t xml:space="preserve">Se ejecutaron recursos por valor de </w:t>
            </w:r>
            <w:r w:rsidR="00D029CB">
              <w:rPr>
                <w:rFonts w:ascii="Verdana" w:hAnsi="Verdana"/>
                <w:sz w:val="20"/>
              </w:rPr>
              <w:t>16.245,2</w:t>
            </w:r>
            <w:r w:rsidR="005B73E2" w:rsidRPr="00FD4820">
              <w:rPr>
                <w:rFonts w:ascii="Verdana" w:hAnsi="Verdana"/>
                <w:sz w:val="20"/>
              </w:rPr>
              <w:t xml:space="preserve"> </w:t>
            </w:r>
            <w:r w:rsidR="00FD4820" w:rsidRPr="009337FE">
              <w:rPr>
                <w:rFonts w:ascii="Verdana" w:eastAsia="Times New Roman" w:hAnsi="Verdana" w:cs="Times New Roman"/>
                <w:sz w:val="20"/>
                <w:szCs w:val="20"/>
              </w:rPr>
              <w:t xml:space="preserve">millones equivalentes al </w:t>
            </w:r>
            <w:r w:rsidR="00D029CB">
              <w:rPr>
                <w:rFonts w:ascii="Verdana" w:hAnsi="Verdana"/>
                <w:sz w:val="20"/>
              </w:rPr>
              <w:t>26,68</w:t>
            </w:r>
            <w:r w:rsidRPr="009337FE">
              <w:rPr>
                <w:rFonts w:ascii="Verdana" w:eastAsia="Times New Roman" w:hAnsi="Verdana" w:cs="Times New Roman"/>
                <w:sz w:val="20"/>
                <w:szCs w:val="20"/>
              </w:rPr>
              <w:t xml:space="preserve">% de la apropiación, frente a una meta del </w:t>
            </w:r>
            <w:r w:rsidR="00D029CB">
              <w:rPr>
                <w:rFonts w:ascii="Verdana" w:eastAsia="Times New Roman" w:hAnsi="Verdana" w:cs="Times New Roman"/>
                <w:sz w:val="20"/>
                <w:szCs w:val="20"/>
              </w:rPr>
              <w:t>26,52</w:t>
            </w:r>
            <w:r w:rsidRPr="009337FE">
              <w:rPr>
                <w:rFonts w:ascii="Verdana" w:eastAsia="Times New Roman" w:hAnsi="Verdana" w:cs="Times New Roman"/>
                <w:sz w:val="20"/>
                <w:szCs w:val="20"/>
              </w:rPr>
              <w:t>%</w:t>
            </w:r>
            <w:r w:rsidR="000670E3" w:rsidRPr="009337FE">
              <w:rPr>
                <w:rFonts w:ascii="Verdana" w:eastAsia="Times New Roman" w:hAnsi="Verdana" w:cs="Times New Roman"/>
                <w:sz w:val="20"/>
                <w:szCs w:val="20"/>
              </w:rPr>
              <w:t>,</w:t>
            </w:r>
            <w:r w:rsidR="000670E3" w:rsidRPr="009337FE">
              <w:rPr>
                <w:rFonts w:ascii="Verdana" w:hAnsi="Verdana"/>
                <w:sz w:val="20"/>
                <w:szCs w:val="20"/>
              </w:rPr>
              <w:t xml:space="preserve"> </w:t>
            </w:r>
            <w:r w:rsidR="009337FE" w:rsidRPr="009337FE">
              <w:rPr>
                <w:rFonts w:ascii="Verdana" w:hAnsi="Verdana"/>
                <w:sz w:val="20"/>
                <w:szCs w:val="20"/>
              </w:rPr>
              <w:t xml:space="preserve">presentando un </w:t>
            </w:r>
            <w:r w:rsidR="00D5164E">
              <w:rPr>
                <w:rFonts w:ascii="Verdana" w:hAnsi="Verdana" w:cs="Arial"/>
                <w:sz w:val="20"/>
                <w:szCs w:val="20"/>
              </w:rPr>
              <w:t>superávit</w:t>
            </w:r>
            <w:r w:rsidR="005B73E2" w:rsidRPr="00C17A84">
              <w:rPr>
                <w:rFonts w:ascii="Verdana" w:hAnsi="Verdana" w:cs="Arial"/>
                <w:sz w:val="20"/>
                <w:szCs w:val="20"/>
              </w:rPr>
              <w:t xml:space="preserve"> de </w:t>
            </w:r>
            <w:r w:rsidR="00D029CB">
              <w:rPr>
                <w:rFonts w:ascii="Verdana" w:hAnsi="Verdana" w:cs="Arial"/>
                <w:sz w:val="20"/>
                <w:szCs w:val="20"/>
              </w:rPr>
              <w:t>95,8 millones, se cumplió al meta.</w:t>
            </w:r>
          </w:p>
          <w:p w:rsidR="00F90546" w:rsidRDefault="00F90546" w:rsidP="000670E3">
            <w:pPr>
              <w:jc w:val="both"/>
              <w:rPr>
                <w:rFonts w:ascii="Verdana" w:hAnsi="Verdana" w:cs="Arial"/>
                <w:sz w:val="20"/>
                <w:szCs w:val="20"/>
              </w:rPr>
            </w:pPr>
          </w:p>
          <w:p w:rsidR="005B73E2" w:rsidRDefault="00283B0B" w:rsidP="000670E3">
            <w:pPr>
              <w:jc w:val="both"/>
              <w:rPr>
                <w:rFonts w:ascii="Verdana" w:hAnsi="Verdana"/>
                <w:sz w:val="20"/>
              </w:rPr>
            </w:pPr>
            <w:r w:rsidRPr="009337FE">
              <w:rPr>
                <w:rFonts w:ascii="Verdana" w:hAnsi="Verdana"/>
                <w:sz w:val="20"/>
              </w:rPr>
              <w:t>Los compromisos estuvieron distribuidos así:</w:t>
            </w:r>
          </w:p>
          <w:p w:rsidR="00F61323" w:rsidRPr="003A4A1F" w:rsidRDefault="00F61323" w:rsidP="000670E3">
            <w:pPr>
              <w:jc w:val="both"/>
              <w:rPr>
                <w:rFonts w:ascii="Verdana" w:hAnsi="Verdana"/>
                <w:sz w:val="20"/>
                <w:szCs w:val="20"/>
                <w:highlight w:val="yellow"/>
              </w:rPr>
            </w:pPr>
          </w:p>
          <w:p w:rsidR="00D029CB" w:rsidRPr="00902BE7" w:rsidRDefault="00D029CB" w:rsidP="00D029CB">
            <w:pPr>
              <w:jc w:val="both"/>
              <w:rPr>
                <w:rFonts w:ascii="Verdana" w:hAnsi="Verdana" w:cs="Arial"/>
                <w:sz w:val="20"/>
                <w:szCs w:val="20"/>
              </w:rPr>
            </w:pPr>
            <w:r w:rsidRPr="00902BE7">
              <w:rPr>
                <w:rFonts w:ascii="Verdana" w:hAnsi="Verdana" w:cs="Arial"/>
                <w:sz w:val="20"/>
                <w:szCs w:val="20"/>
              </w:rPr>
              <w:t xml:space="preserve">a) </w:t>
            </w:r>
            <w:r>
              <w:rPr>
                <w:rFonts w:ascii="Verdana" w:hAnsi="Verdana" w:cs="Arial"/>
                <w:sz w:val="20"/>
                <w:szCs w:val="20"/>
              </w:rPr>
              <w:t>628,8</w:t>
            </w:r>
            <w:r w:rsidRPr="00902BE7">
              <w:rPr>
                <w:rFonts w:ascii="Verdana" w:hAnsi="Verdana" w:cs="Arial"/>
                <w:sz w:val="20"/>
                <w:szCs w:val="20"/>
              </w:rPr>
              <w:t xml:space="preserve"> millones del proyecto, denominado “Inclusión Social de Personas con Discapacidad mediante el Deporte: Fortalecimiento de Estructuras Nacionales Paralímpicas”</w:t>
            </w:r>
          </w:p>
          <w:p w:rsidR="00D029CB" w:rsidRPr="00902BE7" w:rsidRDefault="00D029CB" w:rsidP="00D029CB">
            <w:pPr>
              <w:jc w:val="both"/>
              <w:rPr>
                <w:rFonts w:ascii="Verdana" w:hAnsi="Verdana" w:cs="Arial"/>
                <w:sz w:val="20"/>
                <w:szCs w:val="20"/>
              </w:rPr>
            </w:pPr>
            <w:r>
              <w:rPr>
                <w:rFonts w:ascii="Verdana" w:hAnsi="Verdana" w:cs="Arial"/>
                <w:sz w:val="20"/>
                <w:szCs w:val="20"/>
              </w:rPr>
              <w:t>b) 1.618,0</w:t>
            </w:r>
            <w:r w:rsidRPr="00902BE7">
              <w:rPr>
                <w:rFonts w:ascii="Verdana" w:hAnsi="Verdana" w:cs="Arial"/>
                <w:sz w:val="20"/>
                <w:szCs w:val="20"/>
              </w:rPr>
              <w:t xml:space="preserve"> millones del proyecto “Estrategia regional de emprendimiento” financiado con recursos donados por la Unión Europea.</w:t>
            </w:r>
          </w:p>
          <w:p w:rsidR="00D029CB" w:rsidRDefault="00D029CB" w:rsidP="00D029CB">
            <w:pPr>
              <w:jc w:val="both"/>
              <w:rPr>
                <w:rFonts w:ascii="Verdana" w:hAnsi="Verdana" w:cs="Arial"/>
                <w:sz w:val="20"/>
                <w:szCs w:val="20"/>
              </w:rPr>
            </w:pPr>
            <w:r w:rsidRPr="00902BE7">
              <w:rPr>
                <w:rFonts w:ascii="Verdana" w:hAnsi="Verdana" w:cs="Arial"/>
                <w:sz w:val="20"/>
                <w:szCs w:val="20"/>
              </w:rPr>
              <w:lastRenderedPageBreak/>
              <w:t xml:space="preserve">c) </w:t>
            </w:r>
            <w:r>
              <w:rPr>
                <w:rFonts w:ascii="Verdana" w:hAnsi="Verdana" w:cs="Arial"/>
                <w:sz w:val="20"/>
                <w:szCs w:val="20"/>
              </w:rPr>
              <w:t>13.652,8</w:t>
            </w:r>
            <w:r w:rsidRPr="00902BE7">
              <w:rPr>
                <w:rFonts w:ascii="Verdana" w:hAnsi="Verdana" w:cs="Arial"/>
                <w:sz w:val="20"/>
                <w:szCs w:val="20"/>
              </w:rPr>
              <w:t xml:space="preserve"> millones por cuenta del proyecto de desminado terrestre en el marco del convenio de subvención firmado con la fundación Howard Buffet.</w:t>
            </w:r>
          </w:p>
          <w:p w:rsidR="00D029CB" w:rsidRDefault="00D029CB" w:rsidP="00D029CB">
            <w:pPr>
              <w:jc w:val="both"/>
              <w:rPr>
                <w:rFonts w:ascii="Verdana" w:hAnsi="Verdana" w:cs="Arial"/>
                <w:sz w:val="20"/>
                <w:szCs w:val="20"/>
              </w:rPr>
            </w:pPr>
            <w:r>
              <w:rPr>
                <w:rFonts w:ascii="Verdana" w:hAnsi="Verdana" w:cs="Arial"/>
                <w:sz w:val="20"/>
                <w:szCs w:val="20"/>
              </w:rPr>
              <w:t>d) 325,3 millones del proyecto Fondo Verde del Clima.</w:t>
            </w:r>
          </w:p>
          <w:p w:rsidR="00D029CB" w:rsidRDefault="00D029CB" w:rsidP="00D029CB">
            <w:pPr>
              <w:jc w:val="both"/>
              <w:rPr>
                <w:rFonts w:ascii="Verdana" w:hAnsi="Verdana" w:cs="Arial"/>
                <w:sz w:val="20"/>
                <w:szCs w:val="20"/>
              </w:rPr>
            </w:pPr>
            <w:r>
              <w:rPr>
                <w:rFonts w:ascii="Verdana" w:hAnsi="Verdana" w:cs="Arial"/>
                <w:sz w:val="20"/>
                <w:szCs w:val="20"/>
              </w:rPr>
              <w:t>e) 20,0 millones del proyecto con Corporación Andina de Fomento-CAF.</w:t>
            </w:r>
          </w:p>
          <w:p w:rsidR="00283B0B" w:rsidRPr="003A4A1F" w:rsidRDefault="00283B0B" w:rsidP="00351749">
            <w:pPr>
              <w:jc w:val="both"/>
              <w:rPr>
                <w:rFonts w:ascii="Verdana" w:hAnsi="Verdana"/>
                <w:sz w:val="20"/>
                <w:szCs w:val="20"/>
                <w:highlight w:val="yellow"/>
              </w:rPr>
            </w:pPr>
          </w:p>
        </w:tc>
        <w:tc>
          <w:tcPr>
            <w:tcW w:w="6640" w:type="dxa"/>
            <w:vAlign w:val="center"/>
          </w:tcPr>
          <w:p w:rsidR="00283B0B" w:rsidRPr="00FD4820" w:rsidRDefault="00283B0B" w:rsidP="008F217D">
            <w:pPr>
              <w:jc w:val="both"/>
              <w:rPr>
                <w:rFonts w:ascii="Verdana" w:hAnsi="Verdana"/>
                <w:sz w:val="20"/>
              </w:rPr>
            </w:pPr>
            <w:r w:rsidRPr="00FD4820">
              <w:rPr>
                <w:rFonts w:ascii="Verdana" w:hAnsi="Verdana"/>
                <w:b/>
                <w:sz w:val="20"/>
              </w:rPr>
              <w:lastRenderedPageBreak/>
              <w:t>Indicador:</w:t>
            </w:r>
            <w:r w:rsidRPr="00FD4820">
              <w:rPr>
                <w:rFonts w:ascii="Verdana" w:hAnsi="Verdana"/>
                <w:sz w:val="20"/>
              </w:rPr>
              <w:t xml:space="preserve"> Ejecución Obligaciones / Apropiación Vigente.</w:t>
            </w:r>
          </w:p>
          <w:p w:rsidR="00283B0B" w:rsidRPr="00FD4820" w:rsidRDefault="00283B0B" w:rsidP="008F217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A24ED0">
              <w:rPr>
                <w:rFonts w:ascii="Verdana" w:hAnsi="Verdana"/>
                <w:sz w:val="20"/>
              </w:rPr>
              <w:t>2.</w:t>
            </w:r>
            <w:r w:rsidR="00EC1180">
              <w:rPr>
                <w:rFonts w:ascii="Verdana" w:hAnsi="Verdana"/>
                <w:sz w:val="20"/>
              </w:rPr>
              <w:t>873</w:t>
            </w:r>
            <w:r w:rsidR="00A24ED0">
              <w:rPr>
                <w:rFonts w:ascii="Verdana" w:hAnsi="Verdana"/>
                <w:sz w:val="20"/>
              </w:rPr>
              <w:t>,</w:t>
            </w:r>
            <w:r w:rsidR="00EC1180">
              <w:rPr>
                <w:rFonts w:ascii="Verdana" w:hAnsi="Verdana"/>
                <w:sz w:val="20"/>
              </w:rPr>
              <w:t>3</w:t>
            </w:r>
            <w:r w:rsidR="00277378" w:rsidRPr="00FD4820">
              <w:rPr>
                <w:rFonts w:ascii="Verdana" w:hAnsi="Verdana"/>
                <w:sz w:val="20"/>
              </w:rPr>
              <w:t xml:space="preserve"> </w:t>
            </w:r>
            <w:r w:rsidRPr="00FD4820">
              <w:rPr>
                <w:rFonts w:ascii="Verdana" w:hAnsi="Verdana"/>
                <w:sz w:val="20"/>
              </w:rPr>
              <w:t>/</w:t>
            </w:r>
            <w:r w:rsidR="00277378" w:rsidRPr="00FD4820">
              <w:rPr>
                <w:rFonts w:ascii="Verdana" w:hAnsi="Verdana"/>
                <w:sz w:val="20"/>
              </w:rPr>
              <w:t xml:space="preserve"> 60.891,0</w:t>
            </w:r>
            <w:r w:rsidRPr="00FD4820">
              <w:rPr>
                <w:rFonts w:ascii="Verdana" w:hAnsi="Verdana"/>
                <w:sz w:val="20"/>
              </w:rPr>
              <w:t xml:space="preserve"> </w:t>
            </w:r>
            <w:r w:rsidR="009337FE">
              <w:rPr>
                <w:rFonts w:ascii="Verdana" w:hAnsi="Verdana"/>
                <w:sz w:val="20"/>
              </w:rPr>
              <w:t xml:space="preserve">= </w:t>
            </w:r>
            <w:r w:rsidR="00EC1180">
              <w:rPr>
                <w:rFonts w:ascii="Verdana" w:hAnsi="Verdana"/>
                <w:sz w:val="20"/>
              </w:rPr>
              <w:t>4,72</w:t>
            </w:r>
            <w:r w:rsidRPr="00FD4820">
              <w:rPr>
                <w:rFonts w:ascii="Verdana" w:hAnsi="Verdana"/>
                <w:sz w:val="20"/>
              </w:rPr>
              <w:t>%.</w:t>
            </w:r>
          </w:p>
          <w:p w:rsidR="00283B0B" w:rsidRPr="009337FE" w:rsidRDefault="00283B0B" w:rsidP="008F217D">
            <w:pPr>
              <w:jc w:val="both"/>
              <w:rPr>
                <w:rFonts w:ascii="Verdana" w:hAnsi="Verdana"/>
                <w:sz w:val="20"/>
              </w:rPr>
            </w:pPr>
          </w:p>
          <w:p w:rsidR="00A24ED0" w:rsidRDefault="009337FE" w:rsidP="00A24ED0">
            <w:pPr>
              <w:jc w:val="both"/>
              <w:rPr>
                <w:rFonts w:ascii="Verdana" w:hAnsi="Verdana" w:cs="Arial"/>
                <w:sz w:val="20"/>
                <w:szCs w:val="20"/>
              </w:rPr>
            </w:pPr>
            <w:r w:rsidRPr="009337FE">
              <w:rPr>
                <w:rFonts w:ascii="Verdana" w:hAnsi="Verdana"/>
                <w:iCs/>
                <w:sz w:val="20"/>
                <w:szCs w:val="20"/>
              </w:rPr>
              <w:t xml:space="preserve">La ejecución alcanzó </w:t>
            </w:r>
            <w:r w:rsidR="00A24ED0" w:rsidRPr="009337FE">
              <w:rPr>
                <w:rFonts w:ascii="Verdana" w:hAnsi="Verdana"/>
                <w:iCs/>
                <w:sz w:val="20"/>
                <w:szCs w:val="20"/>
              </w:rPr>
              <w:t xml:space="preserve">el </w:t>
            </w:r>
            <w:r w:rsidR="003B3BB4">
              <w:rPr>
                <w:rFonts w:ascii="Verdana" w:hAnsi="Verdana"/>
                <w:iCs/>
                <w:sz w:val="20"/>
                <w:szCs w:val="20"/>
              </w:rPr>
              <w:t>4,72</w:t>
            </w:r>
            <w:r w:rsidR="00A24ED0" w:rsidRPr="009337FE">
              <w:rPr>
                <w:rFonts w:ascii="Verdana" w:hAnsi="Verdana"/>
                <w:iCs/>
                <w:sz w:val="20"/>
                <w:szCs w:val="20"/>
              </w:rPr>
              <w:t>% de la apropiación, equivalente</w:t>
            </w:r>
            <w:r w:rsidRPr="009337FE">
              <w:rPr>
                <w:rFonts w:ascii="Verdana" w:hAnsi="Verdana"/>
                <w:iCs/>
                <w:sz w:val="20"/>
                <w:szCs w:val="20"/>
              </w:rPr>
              <w:t xml:space="preserve"> a </w:t>
            </w:r>
            <w:r w:rsidR="00A24ED0">
              <w:rPr>
                <w:rFonts w:ascii="Verdana" w:hAnsi="Verdana"/>
                <w:iCs/>
                <w:sz w:val="20"/>
                <w:szCs w:val="20"/>
              </w:rPr>
              <w:t>2.</w:t>
            </w:r>
            <w:r w:rsidR="003B3BB4">
              <w:rPr>
                <w:rFonts w:ascii="Verdana" w:hAnsi="Verdana"/>
                <w:iCs/>
                <w:sz w:val="20"/>
                <w:szCs w:val="20"/>
              </w:rPr>
              <w:t>873</w:t>
            </w:r>
            <w:r w:rsidR="00A24ED0">
              <w:rPr>
                <w:rFonts w:ascii="Verdana" w:hAnsi="Verdana"/>
                <w:iCs/>
                <w:sz w:val="20"/>
                <w:szCs w:val="20"/>
              </w:rPr>
              <w:t>,</w:t>
            </w:r>
            <w:r w:rsidR="003B3BB4">
              <w:rPr>
                <w:rFonts w:ascii="Verdana" w:hAnsi="Verdana"/>
                <w:iCs/>
                <w:sz w:val="20"/>
                <w:szCs w:val="20"/>
              </w:rPr>
              <w:t>2</w:t>
            </w:r>
            <w:r w:rsidR="00277378" w:rsidRPr="009337FE">
              <w:rPr>
                <w:rFonts w:ascii="Verdana" w:hAnsi="Verdana"/>
                <w:iCs/>
                <w:sz w:val="20"/>
                <w:szCs w:val="20"/>
              </w:rPr>
              <w:t xml:space="preserve"> mill</w:t>
            </w:r>
            <w:r w:rsidRPr="009337FE">
              <w:rPr>
                <w:rFonts w:ascii="Verdana" w:hAnsi="Verdana"/>
                <w:iCs/>
                <w:sz w:val="20"/>
                <w:szCs w:val="20"/>
              </w:rPr>
              <w:t xml:space="preserve">ones, frente a una meta del </w:t>
            </w:r>
            <w:r w:rsidR="003B3BB4">
              <w:rPr>
                <w:rFonts w:ascii="Verdana" w:hAnsi="Verdana"/>
                <w:iCs/>
                <w:sz w:val="20"/>
                <w:szCs w:val="20"/>
              </w:rPr>
              <w:t>16,53</w:t>
            </w:r>
            <w:r w:rsidR="00277378" w:rsidRPr="009337FE">
              <w:rPr>
                <w:rFonts w:ascii="Verdana" w:hAnsi="Verdana"/>
                <w:iCs/>
                <w:sz w:val="20"/>
                <w:szCs w:val="20"/>
              </w:rPr>
              <w:t>%,</w:t>
            </w:r>
            <w:r w:rsidRPr="009337FE">
              <w:rPr>
                <w:rFonts w:ascii="Verdana" w:hAnsi="Verdana"/>
                <w:iCs/>
                <w:sz w:val="20"/>
                <w:szCs w:val="20"/>
              </w:rPr>
              <w:t xml:space="preserve"> presentando un </w:t>
            </w:r>
            <w:r w:rsidR="001D4874">
              <w:rPr>
                <w:rFonts w:ascii="Verdana" w:eastAsiaTheme="minorHAnsi" w:hAnsi="Verdana" w:cs="Arial"/>
                <w:sz w:val="20"/>
                <w:szCs w:val="20"/>
                <w:lang w:val="es-CO" w:eastAsia="en-US"/>
              </w:rPr>
              <w:t>déficit</w:t>
            </w:r>
            <w:r w:rsidR="00A24ED0">
              <w:rPr>
                <w:rFonts w:ascii="Verdana" w:eastAsiaTheme="minorHAnsi" w:hAnsi="Verdana" w:cs="Arial"/>
                <w:sz w:val="20"/>
                <w:szCs w:val="20"/>
                <w:lang w:val="es-CO" w:eastAsia="en-US"/>
              </w:rPr>
              <w:t xml:space="preserve"> </w:t>
            </w:r>
            <w:r w:rsidR="00537FD8" w:rsidRPr="00173336">
              <w:rPr>
                <w:rFonts w:ascii="Verdana" w:eastAsiaTheme="minorHAnsi" w:hAnsi="Verdana" w:cs="Arial"/>
                <w:sz w:val="20"/>
                <w:szCs w:val="20"/>
                <w:lang w:val="es-CO" w:eastAsia="en-US"/>
              </w:rPr>
              <w:t xml:space="preserve">de </w:t>
            </w:r>
            <w:r w:rsidR="003B3BB4">
              <w:rPr>
                <w:rFonts w:ascii="Verdana" w:eastAsiaTheme="minorHAnsi" w:hAnsi="Verdana" w:cs="Arial"/>
                <w:sz w:val="20"/>
                <w:szCs w:val="20"/>
                <w:lang w:val="es-CO" w:eastAsia="en-US"/>
              </w:rPr>
              <w:t>7.191,0</w:t>
            </w:r>
            <w:r w:rsidR="00537FD8" w:rsidRPr="00173336">
              <w:rPr>
                <w:rFonts w:ascii="Verdana" w:eastAsiaTheme="minorHAnsi" w:hAnsi="Verdana" w:cs="Arial"/>
                <w:sz w:val="20"/>
                <w:szCs w:val="20"/>
                <w:lang w:val="es-CO" w:eastAsia="en-US"/>
              </w:rPr>
              <w:t xml:space="preserve"> millones, </w:t>
            </w:r>
            <w:r w:rsidR="00A24ED0" w:rsidRPr="00C17A84">
              <w:rPr>
                <w:rFonts w:ascii="Verdana" w:hAnsi="Verdana" w:cs="Arial"/>
                <w:sz w:val="20"/>
                <w:szCs w:val="20"/>
              </w:rPr>
              <w:t xml:space="preserve">debido </w:t>
            </w:r>
            <w:r w:rsidR="00A24ED0">
              <w:rPr>
                <w:rFonts w:ascii="Verdana" w:hAnsi="Verdana" w:cs="Arial"/>
                <w:sz w:val="20"/>
                <w:szCs w:val="20"/>
              </w:rPr>
              <w:t xml:space="preserve">a </w:t>
            </w:r>
            <w:r w:rsidR="001D4874">
              <w:rPr>
                <w:rFonts w:ascii="Verdana" w:hAnsi="Verdana" w:cs="Arial"/>
                <w:sz w:val="20"/>
                <w:szCs w:val="20"/>
              </w:rPr>
              <w:t>no se tramitaron todas</w:t>
            </w:r>
            <w:r w:rsidR="00A24ED0">
              <w:rPr>
                <w:rFonts w:ascii="Verdana" w:hAnsi="Verdana" w:cs="Arial"/>
                <w:sz w:val="20"/>
                <w:szCs w:val="20"/>
              </w:rPr>
              <w:t xml:space="preserve"> </w:t>
            </w:r>
            <w:r w:rsidR="001D4874">
              <w:rPr>
                <w:rFonts w:ascii="Verdana" w:hAnsi="Verdana" w:cs="Arial"/>
                <w:sz w:val="20"/>
                <w:szCs w:val="20"/>
              </w:rPr>
              <w:t xml:space="preserve">las facturas </w:t>
            </w:r>
            <w:r w:rsidR="00D44972">
              <w:rPr>
                <w:rFonts w:ascii="Verdana" w:hAnsi="Verdana" w:cs="Arial"/>
                <w:sz w:val="20"/>
                <w:szCs w:val="20"/>
              </w:rPr>
              <w:t xml:space="preserve"> de los </w:t>
            </w:r>
            <w:r w:rsidR="00A24ED0">
              <w:rPr>
                <w:rFonts w:ascii="Verdana" w:hAnsi="Verdana" w:cs="Arial"/>
                <w:sz w:val="20"/>
                <w:szCs w:val="20"/>
              </w:rPr>
              <w:t xml:space="preserve">contratos </w:t>
            </w:r>
            <w:r w:rsidR="001D4874">
              <w:rPr>
                <w:rFonts w:ascii="Verdana" w:hAnsi="Verdana" w:cs="Arial"/>
                <w:sz w:val="20"/>
                <w:szCs w:val="20"/>
              </w:rPr>
              <w:t xml:space="preserve">que se tenían previstas para el </w:t>
            </w:r>
            <w:r w:rsidR="00A24ED0">
              <w:rPr>
                <w:rFonts w:ascii="Verdana" w:hAnsi="Verdana" w:cs="Arial"/>
                <w:sz w:val="20"/>
                <w:szCs w:val="20"/>
              </w:rPr>
              <w:t xml:space="preserve">mes de </w:t>
            </w:r>
            <w:r w:rsidR="001D4874">
              <w:rPr>
                <w:rFonts w:ascii="Verdana" w:hAnsi="Verdana" w:cs="Arial"/>
                <w:sz w:val="20"/>
                <w:szCs w:val="20"/>
              </w:rPr>
              <w:t>agosto.</w:t>
            </w:r>
          </w:p>
          <w:p w:rsidR="00A24ED0" w:rsidRDefault="00A24ED0" w:rsidP="00F90546">
            <w:pPr>
              <w:spacing w:line="259" w:lineRule="auto"/>
              <w:jc w:val="both"/>
              <w:rPr>
                <w:rFonts w:ascii="Verdana" w:hAnsi="Verdana" w:cs="Arial"/>
                <w:sz w:val="20"/>
                <w:szCs w:val="20"/>
              </w:rPr>
            </w:pPr>
          </w:p>
          <w:p w:rsidR="00F90546" w:rsidRDefault="00D64D97" w:rsidP="00F90546">
            <w:pPr>
              <w:spacing w:line="259" w:lineRule="auto"/>
              <w:jc w:val="both"/>
              <w:rPr>
                <w:rFonts w:ascii="Verdana" w:hAnsi="Verdana" w:cs="Arial"/>
                <w:sz w:val="20"/>
                <w:szCs w:val="20"/>
              </w:rPr>
            </w:pPr>
            <w:r w:rsidRPr="00FA79EC">
              <w:rPr>
                <w:rFonts w:ascii="Verdana" w:hAnsi="Verdana" w:cs="Arial"/>
                <w:sz w:val="20"/>
                <w:szCs w:val="20"/>
              </w:rPr>
              <w:t>La ejecución de los gastos de inversión estuvo distribuida así:</w:t>
            </w:r>
          </w:p>
          <w:p w:rsidR="00A24ED0" w:rsidRDefault="00A24ED0" w:rsidP="00F90546">
            <w:pPr>
              <w:spacing w:line="259" w:lineRule="auto"/>
              <w:jc w:val="both"/>
              <w:rPr>
                <w:rFonts w:ascii="Verdana" w:hAnsi="Verdana" w:cs="Arial"/>
                <w:sz w:val="20"/>
                <w:szCs w:val="20"/>
              </w:rPr>
            </w:pPr>
          </w:p>
          <w:p w:rsidR="001D4874" w:rsidRDefault="00D64D97" w:rsidP="001D4874">
            <w:pPr>
              <w:jc w:val="both"/>
              <w:rPr>
                <w:rFonts w:ascii="Verdana" w:hAnsi="Verdana" w:cs="Arial"/>
                <w:sz w:val="20"/>
                <w:szCs w:val="20"/>
              </w:rPr>
            </w:pPr>
            <w:r w:rsidRPr="00FA79EC">
              <w:rPr>
                <w:rFonts w:ascii="Verdana" w:hAnsi="Verdana" w:cs="Arial"/>
                <w:sz w:val="20"/>
                <w:szCs w:val="20"/>
              </w:rPr>
              <w:t xml:space="preserve"> </w:t>
            </w:r>
            <w:r w:rsidR="001D4874">
              <w:rPr>
                <w:rFonts w:ascii="Verdana" w:hAnsi="Verdana" w:cs="Arial"/>
                <w:sz w:val="20"/>
                <w:szCs w:val="20"/>
              </w:rPr>
              <w:t xml:space="preserve">a) 338,2 millones, pagos del proyecto </w:t>
            </w:r>
            <w:r w:rsidR="001D4874" w:rsidRPr="008B4BA6">
              <w:rPr>
                <w:rFonts w:ascii="Verdana" w:hAnsi="Verdana" w:cs="Arial"/>
                <w:sz w:val="20"/>
                <w:szCs w:val="20"/>
              </w:rPr>
              <w:t xml:space="preserve">PMR </w:t>
            </w:r>
            <w:r w:rsidR="001D4874">
              <w:rPr>
                <w:rFonts w:ascii="Verdana" w:hAnsi="Verdana" w:cs="Arial"/>
                <w:sz w:val="20"/>
                <w:szCs w:val="20"/>
              </w:rPr>
              <w:t>Banco M</w:t>
            </w:r>
            <w:r w:rsidR="001D4874" w:rsidRPr="008B4BA6">
              <w:rPr>
                <w:rFonts w:ascii="Verdana" w:hAnsi="Verdana" w:cs="Arial"/>
                <w:sz w:val="20"/>
                <w:szCs w:val="20"/>
              </w:rPr>
              <w:t>undial</w:t>
            </w:r>
            <w:r w:rsidR="001D4874">
              <w:rPr>
                <w:rFonts w:ascii="Verdana" w:hAnsi="Verdana" w:cs="Arial"/>
                <w:sz w:val="20"/>
                <w:szCs w:val="20"/>
              </w:rPr>
              <w:t xml:space="preserve"> (</w:t>
            </w:r>
            <w:proofErr w:type="spellStart"/>
            <w:r w:rsidR="001D4874" w:rsidRPr="008B4BA6">
              <w:rPr>
                <w:rFonts w:ascii="Verdana" w:hAnsi="Verdana" w:cs="Arial"/>
                <w:sz w:val="20"/>
                <w:szCs w:val="20"/>
              </w:rPr>
              <w:t>Agitos</w:t>
            </w:r>
            <w:proofErr w:type="spellEnd"/>
            <w:r w:rsidR="001D4874" w:rsidRPr="008B4BA6">
              <w:rPr>
                <w:rFonts w:ascii="Verdana" w:hAnsi="Verdana" w:cs="Arial"/>
                <w:sz w:val="20"/>
                <w:szCs w:val="20"/>
              </w:rPr>
              <w:t xml:space="preserve"> </w:t>
            </w:r>
            <w:proofErr w:type="spellStart"/>
            <w:r w:rsidR="001D4874" w:rsidRPr="008B4BA6">
              <w:rPr>
                <w:rFonts w:ascii="Verdana" w:hAnsi="Verdana" w:cs="Arial"/>
                <w:sz w:val="20"/>
                <w:szCs w:val="20"/>
              </w:rPr>
              <w:t>Foundation</w:t>
            </w:r>
            <w:proofErr w:type="spellEnd"/>
            <w:r w:rsidR="001D4874">
              <w:rPr>
                <w:rFonts w:ascii="Verdana" w:hAnsi="Verdana" w:cs="Arial"/>
                <w:sz w:val="20"/>
                <w:szCs w:val="20"/>
              </w:rPr>
              <w:t>).</w:t>
            </w:r>
          </w:p>
          <w:p w:rsidR="001D4874" w:rsidRPr="007C68D7" w:rsidRDefault="001D4874" w:rsidP="001D4874">
            <w:pPr>
              <w:jc w:val="both"/>
              <w:rPr>
                <w:rFonts w:ascii="Verdana" w:hAnsi="Verdana" w:cs="Arial"/>
                <w:sz w:val="20"/>
                <w:szCs w:val="20"/>
              </w:rPr>
            </w:pPr>
            <w:r>
              <w:rPr>
                <w:rFonts w:ascii="Verdana" w:hAnsi="Verdana" w:cs="Arial"/>
                <w:sz w:val="20"/>
                <w:szCs w:val="20"/>
              </w:rPr>
              <w:t>b</w:t>
            </w:r>
            <w:r w:rsidRPr="007C68D7">
              <w:rPr>
                <w:rFonts w:ascii="Verdana" w:hAnsi="Verdana" w:cs="Arial"/>
                <w:sz w:val="20"/>
                <w:szCs w:val="20"/>
              </w:rPr>
              <w:t xml:space="preserve">) </w:t>
            </w:r>
            <w:r>
              <w:rPr>
                <w:rFonts w:ascii="Verdana" w:hAnsi="Verdana" w:cs="Arial"/>
                <w:sz w:val="20"/>
                <w:szCs w:val="20"/>
              </w:rPr>
              <w:t>1.059,1</w:t>
            </w:r>
            <w:r w:rsidRPr="007C68D7">
              <w:rPr>
                <w:rFonts w:ascii="Verdana" w:hAnsi="Verdana" w:cs="Arial"/>
                <w:sz w:val="20"/>
                <w:szCs w:val="20"/>
              </w:rPr>
              <w:t xml:space="preserve"> millones, pagos realizados en el marco del proyecto “Estrategia regional de emprendimiento” financiado con recursos donados por la Unión Europea.</w:t>
            </w:r>
          </w:p>
          <w:p w:rsidR="001D4874" w:rsidRDefault="001D4874" w:rsidP="001D4874">
            <w:pPr>
              <w:jc w:val="both"/>
              <w:rPr>
                <w:rFonts w:ascii="Verdana" w:hAnsi="Verdana" w:cs="Arial"/>
                <w:sz w:val="20"/>
                <w:szCs w:val="20"/>
              </w:rPr>
            </w:pPr>
            <w:r>
              <w:rPr>
                <w:rFonts w:ascii="Verdana" w:hAnsi="Verdana" w:cs="Arial"/>
                <w:sz w:val="20"/>
                <w:szCs w:val="20"/>
              </w:rPr>
              <w:lastRenderedPageBreak/>
              <w:t>c</w:t>
            </w:r>
            <w:r w:rsidRPr="007C68D7">
              <w:rPr>
                <w:rFonts w:ascii="Verdana" w:hAnsi="Verdana" w:cs="Arial"/>
                <w:sz w:val="20"/>
                <w:szCs w:val="20"/>
              </w:rPr>
              <w:t xml:space="preserve">) </w:t>
            </w:r>
            <w:r>
              <w:rPr>
                <w:rFonts w:ascii="Verdana" w:hAnsi="Verdana" w:cs="Arial"/>
                <w:sz w:val="20"/>
                <w:szCs w:val="20"/>
              </w:rPr>
              <w:t>1.321,5</w:t>
            </w:r>
            <w:r w:rsidRPr="007C68D7">
              <w:rPr>
                <w:rFonts w:ascii="Verdana" w:hAnsi="Verdana" w:cs="Arial"/>
                <w:sz w:val="20"/>
                <w:szCs w:val="20"/>
              </w:rPr>
              <w:t xml:space="preserve"> millones, pagos del proyecto de desminado terrestre en el marco del convenio de subvención firmado con la fundación Howard Buffet.</w:t>
            </w:r>
          </w:p>
          <w:p w:rsidR="001D4874" w:rsidRDefault="001D4874" w:rsidP="001D4874">
            <w:pPr>
              <w:jc w:val="both"/>
              <w:rPr>
                <w:rFonts w:ascii="Verdana" w:hAnsi="Verdana" w:cs="Arial"/>
                <w:sz w:val="20"/>
                <w:szCs w:val="20"/>
              </w:rPr>
            </w:pPr>
            <w:r>
              <w:rPr>
                <w:rFonts w:ascii="Verdana" w:hAnsi="Verdana" w:cs="Arial"/>
                <w:sz w:val="20"/>
                <w:szCs w:val="20"/>
              </w:rPr>
              <w:t>d) 150,4 millones del proyecto Fondo Verde del Clima.</w:t>
            </w:r>
          </w:p>
          <w:p w:rsidR="001D4874" w:rsidRDefault="001D4874" w:rsidP="001D4874">
            <w:pPr>
              <w:jc w:val="both"/>
              <w:rPr>
                <w:rFonts w:ascii="Verdana" w:hAnsi="Verdana" w:cs="Arial"/>
                <w:sz w:val="20"/>
                <w:szCs w:val="20"/>
              </w:rPr>
            </w:pPr>
            <w:r>
              <w:rPr>
                <w:rFonts w:ascii="Verdana" w:hAnsi="Verdana" w:cs="Arial"/>
                <w:sz w:val="20"/>
                <w:szCs w:val="20"/>
              </w:rPr>
              <w:t>e) 4,0 millones del Proyecto con Corporación Andina de Fomento-CAF.</w:t>
            </w:r>
          </w:p>
          <w:p w:rsidR="00283B0B" w:rsidRPr="003A4A1F" w:rsidRDefault="00283B0B" w:rsidP="008F217D">
            <w:pPr>
              <w:jc w:val="both"/>
              <w:rPr>
                <w:highlight w:val="yellow"/>
              </w:rPr>
            </w:pPr>
          </w:p>
        </w:tc>
      </w:tr>
    </w:tbl>
    <w:p w:rsidR="00283B0B" w:rsidRDefault="00283B0B" w:rsidP="00283B0B">
      <w:pPr>
        <w:rPr>
          <w:rFonts w:ascii="Verdana" w:hAnsi="Verdana"/>
          <w:b/>
          <w:highlight w:val="yellow"/>
        </w:rPr>
      </w:pPr>
    </w:p>
    <w:p w:rsidR="00396EB5" w:rsidRPr="003A4A1F" w:rsidRDefault="00396EB5" w:rsidP="00283B0B">
      <w:pPr>
        <w:rPr>
          <w:rFonts w:ascii="Verdana" w:hAnsi="Verdana"/>
          <w:b/>
          <w:highlight w:val="yellow"/>
        </w:rPr>
      </w:pPr>
    </w:p>
    <w:p w:rsidR="00283B0B" w:rsidRPr="00633E66" w:rsidRDefault="00283B0B" w:rsidP="00CE0761">
      <w:pPr>
        <w:jc w:val="both"/>
        <w:rPr>
          <w:rFonts w:ascii="Verdana" w:hAnsi="Verdana"/>
          <w:b/>
          <w:sz w:val="22"/>
        </w:rPr>
      </w:pPr>
      <w:r w:rsidRPr="00396EB5">
        <w:rPr>
          <w:rFonts w:ascii="Verdana" w:hAnsi="Verdana"/>
          <w:b/>
          <w:sz w:val="22"/>
        </w:rPr>
        <w:t xml:space="preserve">Proyecto de inversión </w:t>
      </w:r>
      <w:r w:rsidR="00CE0761" w:rsidRPr="00396EB5">
        <w:rPr>
          <w:rFonts w:ascii="Verdana" w:hAnsi="Verdana"/>
          <w:b/>
          <w:sz w:val="22"/>
        </w:rPr>
        <w:t>C-0208-1000-10</w:t>
      </w:r>
      <w:r w:rsidRPr="00396EB5">
        <w:rPr>
          <w:rFonts w:ascii="Verdana" w:hAnsi="Verdana"/>
          <w:b/>
          <w:sz w:val="22"/>
        </w:rPr>
        <w:t xml:space="preserve">: </w:t>
      </w:r>
      <w:r w:rsidR="00CE0761" w:rsidRPr="00396EB5">
        <w:rPr>
          <w:rFonts w:ascii="Verdana" w:hAnsi="Verdana"/>
          <w:b/>
          <w:sz w:val="22"/>
        </w:rPr>
        <w:t>Fortalecimiento de las Capacidades Tecnológicas de la Información en APC-Colombia, Nacional</w:t>
      </w:r>
    </w:p>
    <w:tbl>
      <w:tblPr>
        <w:tblStyle w:val="Tablaconcuadrcula"/>
        <w:tblW w:w="0" w:type="auto"/>
        <w:tblLook w:val="04A0" w:firstRow="1" w:lastRow="0" w:firstColumn="1" w:lastColumn="0" w:noHBand="0" w:noVBand="1"/>
      </w:tblPr>
      <w:tblGrid>
        <w:gridCol w:w="6638"/>
        <w:gridCol w:w="6640"/>
      </w:tblGrid>
      <w:tr w:rsidR="00283B0B" w:rsidRPr="00633E66" w:rsidTr="008F217D">
        <w:tc>
          <w:tcPr>
            <w:tcW w:w="6638" w:type="dxa"/>
          </w:tcPr>
          <w:p w:rsidR="00283B0B" w:rsidRPr="00633E66" w:rsidRDefault="00283B0B" w:rsidP="008F217D">
            <w:pPr>
              <w:jc w:val="center"/>
              <w:rPr>
                <w:rFonts w:ascii="Verdana" w:hAnsi="Verdana"/>
                <w:b/>
              </w:rPr>
            </w:pPr>
            <w:r w:rsidRPr="00633E66">
              <w:rPr>
                <w:rFonts w:ascii="Verdana" w:hAnsi="Verdana"/>
                <w:b/>
              </w:rPr>
              <w:t>Compromisos</w:t>
            </w:r>
          </w:p>
        </w:tc>
        <w:tc>
          <w:tcPr>
            <w:tcW w:w="6640" w:type="dxa"/>
          </w:tcPr>
          <w:p w:rsidR="00283B0B" w:rsidRPr="00633E66" w:rsidRDefault="00283B0B" w:rsidP="008F217D">
            <w:pPr>
              <w:jc w:val="center"/>
              <w:rPr>
                <w:rFonts w:ascii="Verdana" w:hAnsi="Verdana"/>
                <w:b/>
              </w:rPr>
            </w:pPr>
            <w:r w:rsidRPr="00633E66">
              <w:rPr>
                <w:rFonts w:ascii="Verdana" w:hAnsi="Verdana"/>
                <w:b/>
              </w:rPr>
              <w:t>Obligaciones</w:t>
            </w:r>
          </w:p>
        </w:tc>
      </w:tr>
      <w:tr w:rsidR="00283B0B" w:rsidRPr="003A4A1F" w:rsidTr="008F217D">
        <w:tc>
          <w:tcPr>
            <w:tcW w:w="6638" w:type="dxa"/>
            <w:vAlign w:val="center"/>
          </w:tcPr>
          <w:p w:rsidR="00283B0B" w:rsidRPr="00633E66" w:rsidRDefault="00283B0B" w:rsidP="008F217D">
            <w:pPr>
              <w:jc w:val="both"/>
              <w:rPr>
                <w:rFonts w:ascii="Verdana" w:hAnsi="Verdana"/>
                <w:sz w:val="20"/>
              </w:rPr>
            </w:pPr>
            <w:r w:rsidRPr="00633E66">
              <w:rPr>
                <w:rFonts w:ascii="Verdana" w:hAnsi="Verdana"/>
                <w:b/>
                <w:sz w:val="20"/>
              </w:rPr>
              <w:t>Indicador:</w:t>
            </w:r>
            <w:r w:rsidRPr="00633E66">
              <w:rPr>
                <w:rFonts w:ascii="Verdana" w:hAnsi="Verdana"/>
                <w:sz w:val="20"/>
              </w:rPr>
              <w:t xml:space="preserve"> Ejecución Compromisos / Apropiación Vigente.</w:t>
            </w:r>
          </w:p>
          <w:p w:rsidR="007F004D" w:rsidRDefault="00283B0B" w:rsidP="007F004D">
            <w:pPr>
              <w:jc w:val="both"/>
              <w:rPr>
                <w:rFonts w:ascii="Verdana" w:hAnsi="Verdana"/>
                <w:sz w:val="20"/>
              </w:rPr>
            </w:pPr>
            <w:r w:rsidRPr="00633E66">
              <w:rPr>
                <w:rFonts w:ascii="Verdana" w:hAnsi="Verdana"/>
                <w:b/>
                <w:sz w:val="20"/>
              </w:rPr>
              <w:t>Indicador:</w:t>
            </w:r>
            <w:r w:rsidRPr="00633E66">
              <w:rPr>
                <w:rFonts w:ascii="Verdana" w:hAnsi="Verdana"/>
                <w:sz w:val="20"/>
              </w:rPr>
              <w:t xml:space="preserve"> </w:t>
            </w:r>
            <w:r w:rsidR="007F004D">
              <w:rPr>
                <w:rFonts w:ascii="Verdana" w:hAnsi="Verdana"/>
                <w:sz w:val="20"/>
              </w:rPr>
              <w:t>481</w:t>
            </w:r>
            <w:r w:rsidR="0075014A">
              <w:rPr>
                <w:rFonts w:ascii="Verdana" w:hAnsi="Verdana"/>
                <w:sz w:val="20"/>
              </w:rPr>
              <w:t>,</w:t>
            </w:r>
            <w:r w:rsidR="007F004D">
              <w:rPr>
                <w:rFonts w:ascii="Verdana" w:hAnsi="Verdana"/>
                <w:sz w:val="20"/>
              </w:rPr>
              <w:t>4</w:t>
            </w:r>
            <w:r w:rsidR="00CE0761" w:rsidRPr="00633E66">
              <w:rPr>
                <w:rFonts w:ascii="Verdana" w:hAnsi="Verdana"/>
                <w:sz w:val="20"/>
              </w:rPr>
              <w:t xml:space="preserve"> </w:t>
            </w:r>
            <w:r w:rsidRPr="00633E66">
              <w:rPr>
                <w:rFonts w:ascii="Verdana" w:hAnsi="Verdana"/>
                <w:sz w:val="20"/>
              </w:rPr>
              <w:t xml:space="preserve">/ </w:t>
            </w:r>
            <w:r w:rsidR="00CE0761" w:rsidRPr="00633E66">
              <w:rPr>
                <w:rFonts w:ascii="Verdana" w:hAnsi="Verdana"/>
                <w:sz w:val="20"/>
              </w:rPr>
              <w:t>756,3</w:t>
            </w:r>
            <w:r w:rsidRPr="00633E66">
              <w:rPr>
                <w:rFonts w:ascii="Verdana" w:hAnsi="Verdana"/>
                <w:sz w:val="20"/>
              </w:rPr>
              <w:t xml:space="preserve"> = </w:t>
            </w:r>
            <w:r w:rsidR="007F004D">
              <w:rPr>
                <w:rFonts w:ascii="Verdana" w:hAnsi="Verdana"/>
                <w:sz w:val="20"/>
              </w:rPr>
              <w:t>63,65</w:t>
            </w:r>
            <w:r w:rsidRPr="00633E66">
              <w:rPr>
                <w:rFonts w:ascii="Verdana" w:hAnsi="Verdana"/>
                <w:sz w:val="20"/>
              </w:rPr>
              <w:t>%.</w:t>
            </w:r>
          </w:p>
          <w:p w:rsidR="007F004D" w:rsidRDefault="007F004D" w:rsidP="007F004D">
            <w:pPr>
              <w:jc w:val="both"/>
              <w:rPr>
                <w:rFonts w:ascii="Verdana" w:hAnsi="Verdana"/>
                <w:sz w:val="20"/>
              </w:rPr>
            </w:pPr>
          </w:p>
          <w:p w:rsidR="007F004D" w:rsidRPr="00396EB5" w:rsidRDefault="007F004D" w:rsidP="008F217D">
            <w:pPr>
              <w:jc w:val="both"/>
              <w:rPr>
                <w:rFonts w:ascii="Verdana" w:hAnsi="Verdana" w:cs="Arial"/>
                <w:sz w:val="20"/>
                <w:szCs w:val="20"/>
              </w:rPr>
            </w:pPr>
            <w:r w:rsidRPr="00633E66">
              <w:rPr>
                <w:rFonts w:ascii="Verdana" w:hAnsi="Verdana"/>
                <w:sz w:val="20"/>
              </w:rPr>
              <w:t xml:space="preserve"> Por cuenta de este proyecto, se comprometieron recursos por </w:t>
            </w:r>
            <w:r>
              <w:rPr>
                <w:rFonts w:ascii="Verdana" w:hAnsi="Verdana"/>
                <w:sz w:val="20"/>
              </w:rPr>
              <w:t xml:space="preserve">481,4 millones, equivalentes al 63,65%, frente a una meta del 66,38%, presentando un déficit 20,7 millones </w:t>
            </w:r>
            <w:r>
              <w:rPr>
                <w:rFonts w:ascii="Verdana" w:hAnsi="Verdana" w:cs="Arial"/>
                <w:sz w:val="20"/>
                <w:szCs w:val="20"/>
              </w:rPr>
              <w:t>no se tramitaron todos los contratos que se tenían previstos</w:t>
            </w:r>
            <w:r w:rsidRPr="00633E66">
              <w:rPr>
                <w:rFonts w:ascii="Verdana" w:hAnsi="Verdana"/>
                <w:sz w:val="20"/>
              </w:rPr>
              <w:t xml:space="preserve"> </w:t>
            </w:r>
            <w:r>
              <w:rPr>
                <w:rFonts w:ascii="Verdana" w:hAnsi="Verdana"/>
                <w:sz w:val="20"/>
              </w:rPr>
              <w:t xml:space="preserve">para el mes de agosto, </w:t>
            </w:r>
            <w:r>
              <w:rPr>
                <w:rFonts w:ascii="Verdana" w:hAnsi="Verdana"/>
                <w:sz w:val="20"/>
                <w:szCs w:val="20"/>
              </w:rPr>
              <w:t xml:space="preserve">a pesar del déficit presentado, </w:t>
            </w:r>
            <w:r>
              <w:rPr>
                <w:rFonts w:ascii="Verdana" w:hAnsi="Verdana"/>
                <w:sz w:val="20"/>
              </w:rPr>
              <w:t xml:space="preserve">se tramitaron </w:t>
            </w:r>
            <w:r w:rsidRPr="00902BE7">
              <w:rPr>
                <w:rFonts w:ascii="Verdana" w:hAnsi="Verdana" w:cs="Arial"/>
                <w:sz w:val="20"/>
                <w:szCs w:val="20"/>
              </w:rPr>
              <w:t xml:space="preserve">los </w:t>
            </w:r>
            <w:r w:rsidR="00BE0D6C">
              <w:rPr>
                <w:rFonts w:ascii="Verdana" w:hAnsi="Verdana" w:cs="Arial"/>
                <w:sz w:val="20"/>
                <w:szCs w:val="20"/>
              </w:rPr>
              <w:t xml:space="preserve">contratos de </w:t>
            </w:r>
            <w:r w:rsidRPr="00902BE7">
              <w:rPr>
                <w:rFonts w:ascii="Verdana" w:hAnsi="Verdana" w:cs="Arial"/>
                <w:sz w:val="20"/>
                <w:szCs w:val="20"/>
              </w:rPr>
              <w:t>servicios profesional</w:t>
            </w:r>
            <w:r>
              <w:rPr>
                <w:rFonts w:ascii="Verdana" w:hAnsi="Verdana" w:cs="Arial"/>
                <w:sz w:val="20"/>
                <w:szCs w:val="20"/>
              </w:rPr>
              <w:t>es para la gestión del proyecto y los contratos con  la Unión Temporal Seguridad-Nas, para</w:t>
            </w:r>
            <w:r w:rsidRPr="0057344D">
              <w:rPr>
                <w:rFonts w:ascii="Verdana" w:hAnsi="Verdana" w:cs="Arial"/>
                <w:sz w:val="20"/>
                <w:szCs w:val="20"/>
              </w:rPr>
              <w:t xml:space="preserve"> salvaguardar la información de los equipos de cómputo y red</w:t>
            </w:r>
            <w:r>
              <w:rPr>
                <w:rFonts w:ascii="Verdana" w:hAnsi="Verdana" w:cs="Arial"/>
                <w:sz w:val="20"/>
                <w:szCs w:val="20"/>
              </w:rPr>
              <w:t xml:space="preserve">, con </w:t>
            </w:r>
            <w:r w:rsidRPr="0057344D">
              <w:rPr>
                <w:rFonts w:ascii="Verdana" w:hAnsi="Verdana" w:cs="Arial"/>
                <w:sz w:val="20"/>
                <w:szCs w:val="20"/>
              </w:rPr>
              <w:t>Ximil Technologies SAS</w:t>
            </w:r>
            <w:r>
              <w:rPr>
                <w:rFonts w:ascii="Verdana" w:hAnsi="Verdana" w:cs="Arial"/>
                <w:sz w:val="20"/>
                <w:szCs w:val="20"/>
              </w:rPr>
              <w:t xml:space="preserve"> </w:t>
            </w:r>
            <w:r w:rsidRPr="0057344D">
              <w:rPr>
                <w:rFonts w:ascii="Verdana" w:hAnsi="Verdana" w:cs="Arial"/>
                <w:sz w:val="20"/>
                <w:szCs w:val="20"/>
              </w:rPr>
              <w:t>para dar soporte  y mantenimiento del sistema documental ORFEOGOB</w:t>
            </w:r>
            <w:r>
              <w:rPr>
                <w:rFonts w:ascii="Verdana" w:hAnsi="Verdana" w:cs="Arial"/>
                <w:sz w:val="20"/>
                <w:szCs w:val="20"/>
              </w:rPr>
              <w:t xml:space="preserve"> y el </w:t>
            </w:r>
            <w:r w:rsidRPr="0057344D">
              <w:rPr>
                <w:rFonts w:ascii="Verdana" w:hAnsi="Verdana" w:cs="Arial"/>
                <w:sz w:val="20"/>
                <w:szCs w:val="20"/>
              </w:rPr>
              <w:t>contrato con la Unión Soluciones Sistemas De Información S.A.S para mejoras y capacitaciones para los sistemas SARA Y SOFIA.</w:t>
            </w:r>
          </w:p>
          <w:p w:rsidR="00220BAC" w:rsidRPr="00633E66" w:rsidRDefault="00220BAC" w:rsidP="007F004D">
            <w:pPr>
              <w:jc w:val="both"/>
              <w:rPr>
                <w:rFonts w:ascii="Verdana" w:hAnsi="Verdana"/>
                <w:sz w:val="20"/>
              </w:rPr>
            </w:pPr>
          </w:p>
        </w:tc>
        <w:tc>
          <w:tcPr>
            <w:tcW w:w="6640" w:type="dxa"/>
            <w:vAlign w:val="center"/>
          </w:tcPr>
          <w:p w:rsidR="00283B0B" w:rsidRPr="00633E66" w:rsidRDefault="00283B0B" w:rsidP="008F217D">
            <w:pPr>
              <w:jc w:val="both"/>
              <w:rPr>
                <w:rFonts w:ascii="Verdana" w:hAnsi="Verdana"/>
                <w:sz w:val="20"/>
              </w:rPr>
            </w:pPr>
            <w:r w:rsidRPr="00633E66">
              <w:rPr>
                <w:rFonts w:ascii="Verdana" w:hAnsi="Verdana"/>
                <w:b/>
                <w:sz w:val="20"/>
              </w:rPr>
              <w:t>Indicador:</w:t>
            </w:r>
            <w:r w:rsidRPr="00633E66">
              <w:rPr>
                <w:rFonts w:ascii="Verdana" w:hAnsi="Verdana"/>
                <w:sz w:val="20"/>
              </w:rPr>
              <w:t xml:space="preserve"> Ejecución Obligaciones / Apropiación Vigente.</w:t>
            </w:r>
          </w:p>
          <w:p w:rsidR="007F004D" w:rsidRDefault="00283B0B" w:rsidP="007F004D">
            <w:pPr>
              <w:jc w:val="both"/>
              <w:rPr>
                <w:rFonts w:ascii="Verdana" w:hAnsi="Verdana"/>
                <w:sz w:val="20"/>
              </w:rPr>
            </w:pPr>
            <w:r w:rsidRPr="00633E66">
              <w:rPr>
                <w:rFonts w:ascii="Verdana" w:hAnsi="Verdana"/>
                <w:b/>
                <w:sz w:val="20"/>
              </w:rPr>
              <w:t>Indicador:</w:t>
            </w:r>
            <w:r w:rsidRPr="00633E66">
              <w:rPr>
                <w:rFonts w:ascii="Verdana" w:hAnsi="Verdana"/>
                <w:sz w:val="20"/>
              </w:rPr>
              <w:t xml:space="preserve"> </w:t>
            </w:r>
            <w:r w:rsidR="007F004D">
              <w:rPr>
                <w:rFonts w:ascii="Verdana" w:hAnsi="Verdana"/>
                <w:sz w:val="20"/>
              </w:rPr>
              <w:t>119,2</w:t>
            </w:r>
            <w:r w:rsidRPr="00633E66">
              <w:rPr>
                <w:rFonts w:ascii="Verdana" w:hAnsi="Verdana"/>
                <w:sz w:val="20"/>
              </w:rPr>
              <w:t xml:space="preserve"> / </w:t>
            </w:r>
            <w:r w:rsidR="00B77528">
              <w:rPr>
                <w:rFonts w:ascii="Verdana" w:hAnsi="Verdana"/>
                <w:sz w:val="20"/>
              </w:rPr>
              <w:t xml:space="preserve">756,3 = </w:t>
            </w:r>
            <w:r w:rsidR="007F004D">
              <w:rPr>
                <w:rFonts w:ascii="Verdana" w:hAnsi="Verdana"/>
                <w:sz w:val="20"/>
              </w:rPr>
              <w:t>15,76</w:t>
            </w:r>
            <w:r w:rsidRPr="00633E66">
              <w:rPr>
                <w:rFonts w:ascii="Verdana" w:hAnsi="Verdana"/>
                <w:sz w:val="20"/>
              </w:rPr>
              <w:t>%.</w:t>
            </w:r>
          </w:p>
          <w:p w:rsidR="007F004D" w:rsidRDefault="007F004D" w:rsidP="007F004D">
            <w:pPr>
              <w:jc w:val="both"/>
              <w:rPr>
                <w:rFonts w:ascii="Verdana" w:hAnsi="Verdana"/>
                <w:sz w:val="20"/>
              </w:rPr>
            </w:pPr>
          </w:p>
          <w:p w:rsidR="007F004D" w:rsidRDefault="007F004D" w:rsidP="007F004D">
            <w:pPr>
              <w:jc w:val="both"/>
              <w:rPr>
                <w:rFonts w:ascii="Verdana" w:hAnsi="Verdana" w:cs="Arial"/>
                <w:sz w:val="20"/>
                <w:szCs w:val="20"/>
              </w:rPr>
            </w:pPr>
            <w:r w:rsidRPr="00633E66">
              <w:rPr>
                <w:rFonts w:ascii="Verdana" w:hAnsi="Verdana"/>
                <w:sz w:val="20"/>
              </w:rPr>
              <w:t xml:space="preserve">Por cuenta de este proyecto, se </w:t>
            </w:r>
            <w:r>
              <w:rPr>
                <w:rFonts w:ascii="Verdana" w:hAnsi="Verdana"/>
                <w:sz w:val="20"/>
              </w:rPr>
              <w:t>obligaron</w:t>
            </w:r>
            <w:r w:rsidRPr="00633E66">
              <w:rPr>
                <w:rFonts w:ascii="Verdana" w:hAnsi="Verdana"/>
                <w:sz w:val="20"/>
              </w:rPr>
              <w:t xml:space="preserve"> recursos por </w:t>
            </w:r>
            <w:r>
              <w:rPr>
                <w:rFonts w:ascii="Verdana" w:hAnsi="Verdana"/>
                <w:sz w:val="20"/>
              </w:rPr>
              <w:t xml:space="preserve">119,2 millones, equivalentes al 15,76%, frente a una meta del 19,23%, presentando un déficit de 26,3 millones, </w:t>
            </w:r>
            <w:r w:rsidRPr="00C17A84">
              <w:rPr>
                <w:rFonts w:ascii="Verdana" w:hAnsi="Verdana" w:cs="Arial"/>
                <w:sz w:val="20"/>
                <w:szCs w:val="20"/>
              </w:rPr>
              <w:t xml:space="preserve">debido </w:t>
            </w:r>
            <w:r>
              <w:rPr>
                <w:rFonts w:ascii="Verdana" w:hAnsi="Verdana" w:cs="Arial"/>
                <w:sz w:val="20"/>
                <w:szCs w:val="20"/>
              </w:rPr>
              <w:t>a que no se tramitaron todas las facturas  de los contratos que se tenían previstas para el mes de agosto.</w:t>
            </w:r>
          </w:p>
          <w:p w:rsidR="007F004D" w:rsidRDefault="007F004D" w:rsidP="007F004D">
            <w:pPr>
              <w:spacing w:line="259" w:lineRule="auto"/>
              <w:jc w:val="both"/>
              <w:rPr>
                <w:rFonts w:ascii="Verdana" w:hAnsi="Verdana" w:cs="Arial"/>
                <w:sz w:val="20"/>
                <w:szCs w:val="20"/>
              </w:rPr>
            </w:pPr>
          </w:p>
          <w:p w:rsidR="007F004D" w:rsidRDefault="007F004D" w:rsidP="008F217D">
            <w:pPr>
              <w:jc w:val="both"/>
              <w:rPr>
                <w:rFonts w:ascii="Verdana" w:hAnsi="Verdana"/>
                <w:sz w:val="20"/>
              </w:rPr>
            </w:pPr>
          </w:p>
          <w:p w:rsidR="007F004D" w:rsidRDefault="007F004D" w:rsidP="008F217D">
            <w:pPr>
              <w:jc w:val="both"/>
              <w:rPr>
                <w:rFonts w:ascii="Verdana" w:hAnsi="Verdana"/>
                <w:sz w:val="20"/>
              </w:rPr>
            </w:pPr>
          </w:p>
          <w:p w:rsidR="007F004D" w:rsidRDefault="007F004D" w:rsidP="008F217D">
            <w:pPr>
              <w:jc w:val="both"/>
              <w:rPr>
                <w:rFonts w:ascii="Verdana" w:hAnsi="Verdana"/>
                <w:sz w:val="20"/>
              </w:rPr>
            </w:pPr>
          </w:p>
          <w:p w:rsidR="00B77528" w:rsidRDefault="00B77528" w:rsidP="008F217D">
            <w:pPr>
              <w:jc w:val="both"/>
              <w:rPr>
                <w:rFonts w:ascii="Verdana" w:hAnsi="Verdana"/>
                <w:sz w:val="20"/>
              </w:rPr>
            </w:pPr>
          </w:p>
          <w:p w:rsidR="007F004D" w:rsidRDefault="007F004D" w:rsidP="008F217D">
            <w:pPr>
              <w:jc w:val="both"/>
              <w:rPr>
                <w:rFonts w:ascii="Verdana" w:hAnsi="Verdana"/>
                <w:sz w:val="20"/>
              </w:rPr>
            </w:pPr>
          </w:p>
          <w:p w:rsidR="007F004D" w:rsidRPr="00633E66" w:rsidRDefault="007F004D" w:rsidP="008F217D">
            <w:pPr>
              <w:jc w:val="both"/>
              <w:rPr>
                <w:rFonts w:ascii="Verdana" w:hAnsi="Verdana"/>
                <w:sz w:val="20"/>
              </w:rPr>
            </w:pPr>
          </w:p>
          <w:p w:rsidR="00283B0B" w:rsidRPr="00633E66" w:rsidRDefault="00283B0B" w:rsidP="007F004D">
            <w:pPr>
              <w:jc w:val="both"/>
            </w:pPr>
          </w:p>
        </w:tc>
      </w:tr>
    </w:tbl>
    <w:p w:rsidR="00283B0B" w:rsidRPr="003A4A1F" w:rsidRDefault="00283B0B" w:rsidP="00283B0B">
      <w:pPr>
        <w:jc w:val="both"/>
        <w:rPr>
          <w:highlight w:val="yellow"/>
        </w:rPr>
      </w:pPr>
    </w:p>
    <w:p w:rsidR="00283B0B" w:rsidRPr="001B6727" w:rsidRDefault="00283B0B" w:rsidP="00283B0B">
      <w:pPr>
        <w:jc w:val="both"/>
        <w:rPr>
          <w:rFonts w:ascii="Verdana" w:hAnsi="Verdana"/>
          <w:b/>
        </w:rPr>
      </w:pPr>
      <w:r w:rsidRPr="001B6727">
        <w:rPr>
          <w:rFonts w:ascii="Verdana" w:hAnsi="Verdana"/>
          <w:b/>
          <w:sz w:val="22"/>
        </w:rPr>
        <w:t>Pro</w:t>
      </w:r>
      <w:r w:rsidR="00860A9A" w:rsidRPr="001B6727">
        <w:rPr>
          <w:rFonts w:ascii="Verdana" w:hAnsi="Verdana"/>
          <w:b/>
          <w:sz w:val="22"/>
        </w:rPr>
        <w:t>yecto de inversión C-0208-1000-8</w:t>
      </w:r>
      <w:r w:rsidRPr="001B6727">
        <w:rPr>
          <w:rFonts w:ascii="Verdana" w:hAnsi="Verdana"/>
          <w:b/>
          <w:sz w:val="22"/>
        </w:rPr>
        <w:t xml:space="preserve">: Distribución </w:t>
      </w:r>
      <w:r w:rsidR="00860A9A" w:rsidRPr="001B6727">
        <w:rPr>
          <w:rFonts w:ascii="Verdana" w:hAnsi="Verdana"/>
          <w:b/>
          <w:sz w:val="22"/>
        </w:rPr>
        <w:t xml:space="preserve">de recursos de Cooperación  Internacional No </w:t>
      </w:r>
      <w:r w:rsidR="005035AC" w:rsidRPr="001B6727">
        <w:rPr>
          <w:rFonts w:ascii="Verdana" w:hAnsi="Verdana"/>
          <w:b/>
          <w:sz w:val="22"/>
        </w:rPr>
        <w:t>Reembolsable a Entidades del Orden Nacional - Distribución Previo Concepto DNP</w:t>
      </w:r>
      <w:r w:rsidRPr="001B6727">
        <w:rPr>
          <w:rFonts w:ascii="Verdana" w:hAnsi="Verdana"/>
          <w:b/>
          <w:sz w:val="22"/>
        </w:rPr>
        <w:t>.</w:t>
      </w:r>
    </w:p>
    <w:p w:rsidR="001B6727" w:rsidRDefault="001B6727" w:rsidP="00283B0B">
      <w:pPr>
        <w:jc w:val="both"/>
        <w:rPr>
          <w:rFonts w:ascii="Verdana" w:hAnsi="Verdana"/>
          <w:b/>
          <w:sz w:val="20"/>
        </w:rPr>
      </w:pPr>
    </w:p>
    <w:p w:rsidR="00283B0B" w:rsidRPr="001B6727" w:rsidRDefault="00283B0B" w:rsidP="00283B0B">
      <w:pPr>
        <w:jc w:val="both"/>
        <w:rPr>
          <w:rFonts w:ascii="Verdana" w:hAnsi="Verdana"/>
          <w:sz w:val="20"/>
        </w:rPr>
      </w:pPr>
      <w:r w:rsidRPr="001B6727">
        <w:rPr>
          <w:rFonts w:ascii="Verdana" w:hAnsi="Verdana"/>
          <w:b/>
          <w:sz w:val="20"/>
        </w:rPr>
        <w:t>Indicador:</w:t>
      </w:r>
      <w:r w:rsidRPr="001B6727">
        <w:rPr>
          <w:rFonts w:ascii="Verdana" w:hAnsi="Verdana"/>
          <w:sz w:val="20"/>
        </w:rPr>
        <w:t xml:space="preserve"> Apropiación Distribuida / Apropiación Total.</w:t>
      </w:r>
    </w:p>
    <w:p w:rsidR="00283B0B" w:rsidRPr="001B6727" w:rsidRDefault="00283B0B" w:rsidP="00283B0B">
      <w:pPr>
        <w:jc w:val="both"/>
      </w:pPr>
      <w:r w:rsidRPr="001B6727">
        <w:rPr>
          <w:rFonts w:ascii="Verdana" w:hAnsi="Verdana"/>
          <w:b/>
          <w:sz w:val="20"/>
        </w:rPr>
        <w:t>Indicador:</w:t>
      </w:r>
      <w:r w:rsidR="005035AC" w:rsidRPr="001B6727">
        <w:rPr>
          <w:rFonts w:ascii="Verdana" w:hAnsi="Verdana"/>
          <w:sz w:val="20"/>
        </w:rPr>
        <w:t xml:space="preserve"> </w:t>
      </w:r>
      <w:r w:rsidR="00144144">
        <w:rPr>
          <w:rFonts w:ascii="Verdana" w:hAnsi="Verdana"/>
          <w:sz w:val="20"/>
        </w:rPr>
        <w:t>25.</w:t>
      </w:r>
      <w:r w:rsidR="001547D4">
        <w:rPr>
          <w:rFonts w:ascii="Verdana" w:hAnsi="Verdana"/>
          <w:sz w:val="20"/>
        </w:rPr>
        <w:t>772</w:t>
      </w:r>
      <w:r w:rsidR="005035AC" w:rsidRPr="001B6727">
        <w:rPr>
          <w:rFonts w:ascii="Verdana" w:hAnsi="Verdana"/>
          <w:sz w:val="20"/>
        </w:rPr>
        <w:t xml:space="preserve"> / 30.141,0</w:t>
      </w:r>
      <w:r w:rsidRPr="001B6727">
        <w:rPr>
          <w:rFonts w:ascii="Verdana" w:hAnsi="Verdana"/>
          <w:sz w:val="20"/>
        </w:rPr>
        <w:t xml:space="preserve"> = </w:t>
      </w:r>
      <w:r w:rsidR="001547D4">
        <w:rPr>
          <w:rFonts w:ascii="Verdana" w:hAnsi="Verdana"/>
          <w:sz w:val="20"/>
        </w:rPr>
        <w:t>85,50</w:t>
      </w:r>
      <w:r w:rsidRPr="001B6727">
        <w:rPr>
          <w:rFonts w:ascii="Verdana" w:hAnsi="Verdana"/>
          <w:sz w:val="20"/>
        </w:rPr>
        <w:t>%.</w:t>
      </w:r>
      <w:r w:rsidR="00144144">
        <w:rPr>
          <w:rFonts w:ascii="Verdana" w:hAnsi="Verdana"/>
          <w:sz w:val="20"/>
        </w:rPr>
        <w:t xml:space="preserve"> </w:t>
      </w:r>
    </w:p>
    <w:p w:rsidR="005035AC" w:rsidRPr="001B6727" w:rsidRDefault="005035AC" w:rsidP="00283B0B">
      <w:pPr>
        <w:jc w:val="both"/>
      </w:pPr>
    </w:p>
    <w:p w:rsidR="00283B0B" w:rsidRDefault="00283B0B" w:rsidP="00283B0B">
      <w:pPr>
        <w:jc w:val="both"/>
        <w:rPr>
          <w:rFonts w:ascii="Verdana" w:hAnsi="Verdana"/>
          <w:sz w:val="20"/>
        </w:rPr>
      </w:pPr>
      <w:r w:rsidRPr="001B6727">
        <w:rPr>
          <w:rFonts w:ascii="Verdana" w:hAnsi="Verdana"/>
          <w:sz w:val="20"/>
        </w:rPr>
        <w:t xml:space="preserve">En relación con el proyecto de inversión </w:t>
      </w:r>
      <w:r w:rsidR="005035AC" w:rsidRPr="001B6727">
        <w:rPr>
          <w:rFonts w:ascii="Verdana" w:hAnsi="Verdana"/>
          <w:sz w:val="20"/>
        </w:rPr>
        <w:t>C-0208-1000-8</w:t>
      </w:r>
      <w:r w:rsidRPr="001B6727">
        <w:rPr>
          <w:rFonts w:ascii="Verdana" w:hAnsi="Verdana"/>
          <w:sz w:val="20"/>
        </w:rPr>
        <w:t xml:space="preserve">: </w:t>
      </w:r>
      <w:r w:rsidR="005035AC" w:rsidRPr="001B6727">
        <w:rPr>
          <w:rFonts w:ascii="Verdana" w:hAnsi="Verdana"/>
          <w:b/>
          <w:sz w:val="20"/>
        </w:rPr>
        <w:t>Distribución de recursos de Cooperación  Internacional No Reembolsable a Entidades del Orden Nacional - Distribución Previo Concepto DNP</w:t>
      </w:r>
      <w:r w:rsidRPr="001B6727">
        <w:rPr>
          <w:rFonts w:ascii="Verdana" w:hAnsi="Verdana"/>
          <w:sz w:val="20"/>
        </w:rPr>
        <w:t xml:space="preserve">, se cuenta con una apropiación de </w:t>
      </w:r>
      <w:r w:rsidR="005035AC" w:rsidRPr="001B6727">
        <w:rPr>
          <w:rFonts w:ascii="Verdana" w:hAnsi="Verdana"/>
          <w:sz w:val="20"/>
        </w:rPr>
        <w:t>30.141</w:t>
      </w:r>
      <w:r w:rsidRPr="001B6727">
        <w:rPr>
          <w:rFonts w:ascii="Verdana" w:hAnsi="Verdana"/>
          <w:sz w:val="20"/>
        </w:rPr>
        <w:t>,0 millones para distribuir espacio fiscal con el propósito de incorporar a los presupuestos de inversión de algunas entidades públicas del nivel nacional, los recursos de cooperación financiera internacional no reembolsable que dichas entidades logren gestionar durante la vigencia, sin que sea necesario la expedición de un decreto para incorporar dichos recursos. Durante el transcurso de la vigencia se incorporarán los citados recursos en la medida en que lo soliciten las entidades, previo concepto favorable del Departamento Nacional de Planeación - DNP y aprobación por parte del Ministerio de Hacienda y Crédito Público.</w:t>
      </w:r>
      <w:r w:rsidRPr="005035AC">
        <w:rPr>
          <w:rFonts w:ascii="Verdana" w:hAnsi="Verdana"/>
          <w:sz w:val="20"/>
        </w:rPr>
        <w:t xml:space="preserve">   </w:t>
      </w:r>
    </w:p>
    <w:p w:rsidR="007705E3" w:rsidRPr="005035AC" w:rsidRDefault="007705E3" w:rsidP="00283B0B">
      <w:pPr>
        <w:jc w:val="both"/>
        <w:rPr>
          <w:rFonts w:ascii="Verdana" w:hAnsi="Verdana"/>
          <w:sz w:val="20"/>
        </w:rPr>
      </w:pPr>
    </w:p>
    <w:p w:rsidR="00144144" w:rsidRDefault="007705E3" w:rsidP="007705E3">
      <w:pPr>
        <w:jc w:val="both"/>
        <w:rPr>
          <w:rFonts w:ascii="Verdana" w:hAnsi="Verdana"/>
          <w:sz w:val="20"/>
        </w:rPr>
      </w:pPr>
      <w:r w:rsidRPr="007705E3">
        <w:rPr>
          <w:rFonts w:ascii="Verdana" w:hAnsi="Verdana"/>
          <w:sz w:val="20"/>
        </w:rPr>
        <w:t xml:space="preserve">El </w:t>
      </w:r>
      <w:r w:rsidR="00144144">
        <w:rPr>
          <w:rFonts w:ascii="Verdana" w:hAnsi="Verdana"/>
          <w:sz w:val="20"/>
        </w:rPr>
        <w:t>28</w:t>
      </w:r>
      <w:r w:rsidRPr="007705E3">
        <w:rPr>
          <w:rFonts w:ascii="Verdana" w:hAnsi="Verdana"/>
          <w:sz w:val="20"/>
        </w:rPr>
        <w:t xml:space="preserve"> de </w:t>
      </w:r>
      <w:r w:rsidR="00144144">
        <w:rPr>
          <w:rFonts w:ascii="Verdana" w:hAnsi="Verdana"/>
          <w:sz w:val="20"/>
        </w:rPr>
        <w:t>marzo</w:t>
      </w:r>
      <w:r w:rsidRPr="007705E3">
        <w:rPr>
          <w:rFonts w:ascii="Verdana" w:hAnsi="Verdana"/>
          <w:sz w:val="20"/>
        </w:rPr>
        <w:t xml:space="preserve"> el Ministerio de Hacienda y Crédito Público aprobó </w:t>
      </w:r>
      <w:r>
        <w:rPr>
          <w:rFonts w:ascii="Verdana" w:hAnsi="Verdana"/>
          <w:sz w:val="20"/>
        </w:rPr>
        <w:t>la resolución</w:t>
      </w:r>
      <w:r w:rsidRPr="007705E3">
        <w:rPr>
          <w:rFonts w:ascii="Verdana" w:hAnsi="Verdana"/>
          <w:sz w:val="20"/>
        </w:rPr>
        <w:t xml:space="preserve"> </w:t>
      </w:r>
      <w:r>
        <w:rPr>
          <w:rFonts w:ascii="Verdana" w:hAnsi="Verdana"/>
          <w:sz w:val="20"/>
        </w:rPr>
        <w:t>107 del</w:t>
      </w:r>
      <w:r w:rsidRPr="007705E3">
        <w:rPr>
          <w:rFonts w:ascii="Verdana" w:hAnsi="Verdana"/>
          <w:sz w:val="20"/>
        </w:rPr>
        <w:t xml:space="preserve"> 201</w:t>
      </w:r>
      <w:r>
        <w:rPr>
          <w:rFonts w:ascii="Verdana" w:hAnsi="Verdana"/>
          <w:sz w:val="20"/>
        </w:rPr>
        <w:t>9</w:t>
      </w:r>
      <w:r w:rsidRPr="007705E3">
        <w:rPr>
          <w:rFonts w:ascii="Verdana" w:hAnsi="Verdana"/>
          <w:sz w:val="20"/>
        </w:rPr>
        <w:t xml:space="preserve">, mediante </w:t>
      </w:r>
      <w:r>
        <w:rPr>
          <w:rFonts w:ascii="Verdana" w:hAnsi="Verdana"/>
          <w:sz w:val="20"/>
        </w:rPr>
        <w:t>la cual</w:t>
      </w:r>
      <w:r w:rsidRPr="007705E3">
        <w:rPr>
          <w:rFonts w:ascii="Verdana" w:hAnsi="Verdana"/>
          <w:sz w:val="20"/>
        </w:rPr>
        <w:t xml:space="preserve"> se distribuyó espacio fiscal para incorporar recursos de cooperación internacional </w:t>
      </w:r>
      <w:r>
        <w:rPr>
          <w:rFonts w:ascii="Verdana" w:hAnsi="Verdana"/>
          <w:sz w:val="20"/>
        </w:rPr>
        <w:t>al presupuesto</w:t>
      </w:r>
      <w:r w:rsidRPr="007705E3">
        <w:rPr>
          <w:rFonts w:ascii="Verdana" w:hAnsi="Verdana"/>
          <w:sz w:val="20"/>
        </w:rPr>
        <w:t xml:space="preserve"> de inversión del Ministerio de Comercio, Industria y Turismo por </w:t>
      </w:r>
      <w:r w:rsidR="00621DAA">
        <w:rPr>
          <w:rFonts w:ascii="Verdana" w:hAnsi="Verdana"/>
          <w:sz w:val="20"/>
        </w:rPr>
        <w:t>24.659,1</w:t>
      </w:r>
      <w:r w:rsidRPr="007705E3">
        <w:rPr>
          <w:rFonts w:ascii="Verdana" w:hAnsi="Verdana"/>
          <w:sz w:val="20"/>
        </w:rPr>
        <w:t xml:space="preserve">  </w:t>
      </w:r>
      <w:r w:rsidR="00144144">
        <w:rPr>
          <w:rFonts w:ascii="Verdana" w:hAnsi="Verdana"/>
          <w:sz w:val="20"/>
        </w:rPr>
        <w:t xml:space="preserve">millones; </w:t>
      </w:r>
      <w:r w:rsidR="00144144" w:rsidRPr="007705E3">
        <w:rPr>
          <w:rFonts w:ascii="Verdana" w:hAnsi="Verdana"/>
          <w:sz w:val="20"/>
        </w:rPr>
        <w:t xml:space="preserve">El </w:t>
      </w:r>
      <w:r w:rsidR="00144144">
        <w:rPr>
          <w:rFonts w:ascii="Verdana" w:hAnsi="Verdana"/>
          <w:sz w:val="20"/>
        </w:rPr>
        <w:t>24</w:t>
      </w:r>
      <w:r w:rsidR="00144144" w:rsidRPr="007705E3">
        <w:rPr>
          <w:rFonts w:ascii="Verdana" w:hAnsi="Verdana"/>
          <w:sz w:val="20"/>
        </w:rPr>
        <w:t xml:space="preserve"> de </w:t>
      </w:r>
      <w:r w:rsidR="00144144">
        <w:rPr>
          <w:rFonts w:ascii="Verdana" w:hAnsi="Verdana"/>
          <w:sz w:val="20"/>
        </w:rPr>
        <w:t>abril</w:t>
      </w:r>
      <w:r w:rsidR="00144144" w:rsidRPr="007705E3">
        <w:rPr>
          <w:rFonts w:ascii="Verdana" w:hAnsi="Verdana"/>
          <w:sz w:val="20"/>
        </w:rPr>
        <w:t xml:space="preserve"> el Ministerio de Hacienda y Crédito Público aprobó </w:t>
      </w:r>
      <w:r w:rsidR="00144144">
        <w:rPr>
          <w:rFonts w:ascii="Verdana" w:hAnsi="Verdana"/>
          <w:sz w:val="20"/>
        </w:rPr>
        <w:t>la resolución</w:t>
      </w:r>
      <w:r w:rsidR="00144144" w:rsidRPr="007705E3">
        <w:rPr>
          <w:rFonts w:ascii="Verdana" w:hAnsi="Verdana"/>
          <w:sz w:val="20"/>
        </w:rPr>
        <w:t xml:space="preserve"> </w:t>
      </w:r>
      <w:r w:rsidR="00144144">
        <w:rPr>
          <w:rFonts w:ascii="Verdana" w:hAnsi="Verdana"/>
          <w:sz w:val="20"/>
        </w:rPr>
        <w:t>143 del</w:t>
      </w:r>
      <w:r w:rsidR="00144144" w:rsidRPr="007705E3">
        <w:rPr>
          <w:rFonts w:ascii="Verdana" w:hAnsi="Verdana"/>
          <w:sz w:val="20"/>
        </w:rPr>
        <w:t xml:space="preserve"> 201</w:t>
      </w:r>
      <w:r w:rsidR="00144144">
        <w:rPr>
          <w:rFonts w:ascii="Verdana" w:hAnsi="Verdana"/>
          <w:sz w:val="20"/>
        </w:rPr>
        <w:t>9</w:t>
      </w:r>
      <w:r w:rsidR="00144144" w:rsidRPr="007705E3">
        <w:rPr>
          <w:rFonts w:ascii="Verdana" w:hAnsi="Verdana"/>
          <w:sz w:val="20"/>
        </w:rPr>
        <w:t xml:space="preserve">, mediante </w:t>
      </w:r>
      <w:r w:rsidR="00144144">
        <w:rPr>
          <w:rFonts w:ascii="Verdana" w:hAnsi="Verdana"/>
          <w:sz w:val="20"/>
        </w:rPr>
        <w:t>la cual</w:t>
      </w:r>
      <w:r w:rsidR="00144144" w:rsidRPr="007705E3">
        <w:rPr>
          <w:rFonts w:ascii="Verdana" w:hAnsi="Verdana"/>
          <w:sz w:val="20"/>
        </w:rPr>
        <w:t xml:space="preserve"> se distribuyó espacio fiscal para incorporar recursos de cooperación internacional </w:t>
      </w:r>
      <w:r w:rsidR="00144144">
        <w:rPr>
          <w:rFonts w:ascii="Verdana" w:hAnsi="Verdana"/>
          <w:sz w:val="20"/>
        </w:rPr>
        <w:t>al presupuesto de inversión de la Comisión para el Esclarecimiento  de la Verdad por 684,0 millones;</w:t>
      </w:r>
      <w:r w:rsidR="00144144" w:rsidRPr="00144144">
        <w:rPr>
          <w:rFonts w:ascii="Verdana" w:hAnsi="Verdana"/>
          <w:sz w:val="20"/>
        </w:rPr>
        <w:t xml:space="preserve"> </w:t>
      </w:r>
      <w:r w:rsidR="00144144" w:rsidRPr="007705E3">
        <w:rPr>
          <w:rFonts w:ascii="Verdana" w:hAnsi="Verdana"/>
          <w:sz w:val="20"/>
        </w:rPr>
        <w:t xml:space="preserve">El </w:t>
      </w:r>
      <w:r w:rsidR="00144144">
        <w:rPr>
          <w:rFonts w:ascii="Verdana" w:hAnsi="Verdana"/>
          <w:sz w:val="20"/>
        </w:rPr>
        <w:t xml:space="preserve">17 </w:t>
      </w:r>
      <w:r w:rsidR="00144144" w:rsidRPr="007705E3">
        <w:rPr>
          <w:rFonts w:ascii="Verdana" w:hAnsi="Verdana"/>
          <w:sz w:val="20"/>
        </w:rPr>
        <w:t xml:space="preserve">de </w:t>
      </w:r>
      <w:r w:rsidR="00144144">
        <w:rPr>
          <w:rFonts w:ascii="Verdana" w:hAnsi="Verdana"/>
          <w:sz w:val="20"/>
        </w:rPr>
        <w:t>mayo</w:t>
      </w:r>
      <w:r w:rsidR="00144144" w:rsidRPr="007705E3">
        <w:rPr>
          <w:rFonts w:ascii="Verdana" w:hAnsi="Verdana"/>
          <w:sz w:val="20"/>
        </w:rPr>
        <w:t xml:space="preserve"> el Ministerio de Hacienda y Crédito Público aprobó </w:t>
      </w:r>
      <w:r w:rsidR="00144144">
        <w:rPr>
          <w:rFonts w:ascii="Verdana" w:hAnsi="Verdana"/>
          <w:sz w:val="20"/>
        </w:rPr>
        <w:t>la resolución</w:t>
      </w:r>
      <w:r w:rsidR="00144144" w:rsidRPr="007705E3">
        <w:rPr>
          <w:rFonts w:ascii="Verdana" w:hAnsi="Verdana"/>
          <w:sz w:val="20"/>
        </w:rPr>
        <w:t xml:space="preserve"> </w:t>
      </w:r>
      <w:r w:rsidR="00144144">
        <w:rPr>
          <w:rFonts w:ascii="Verdana" w:hAnsi="Verdana"/>
          <w:sz w:val="20"/>
        </w:rPr>
        <w:t>175 del</w:t>
      </w:r>
      <w:r w:rsidR="00144144" w:rsidRPr="007705E3">
        <w:rPr>
          <w:rFonts w:ascii="Verdana" w:hAnsi="Verdana"/>
          <w:sz w:val="20"/>
        </w:rPr>
        <w:t xml:space="preserve"> 201</w:t>
      </w:r>
      <w:r w:rsidR="00144144">
        <w:rPr>
          <w:rFonts w:ascii="Verdana" w:hAnsi="Verdana"/>
          <w:sz w:val="20"/>
        </w:rPr>
        <w:t>9</w:t>
      </w:r>
      <w:r w:rsidR="00144144" w:rsidRPr="007705E3">
        <w:rPr>
          <w:rFonts w:ascii="Verdana" w:hAnsi="Verdana"/>
          <w:sz w:val="20"/>
        </w:rPr>
        <w:t xml:space="preserve">, mediante </w:t>
      </w:r>
      <w:r w:rsidR="00144144">
        <w:rPr>
          <w:rFonts w:ascii="Verdana" w:hAnsi="Verdana"/>
          <w:sz w:val="20"/>
        </w:rPr>
        <w:t>la cual</w:t>
      </w:r>
      <w:r w:rsidR="00144144" w:rsidRPr="007705E3">
        <w:rPr>
          <w:rFonts w:ascii="Verdana" w:hAnsi="Verdana"/>
          <w:sz w:val="20"/>
        </w:rPr>
        <w:t xml:space="preserve"> se distribuyó espacio fiscal para incorporar recursos de cooperación internacional </w:t>
      </w:r>
      <w:r w:rsidR="00144144">
        <w:rPr>
          <w:rFonts w:ascii="Verdana" w:hAnsi="Verdana"/>
          <w:sz w:val="20"/>
        </w:rPr>
        <w:t xml:space="preserve">al presupuesto de inversión de la Unidad de Atención  y Reparación  Integral  a </w:t>
      </w:r>
      <w:r w:rsidR="00A95CC2">
        <w:rPr>
          <w:rFonts w:ascii="Verdana" w:hAnsi="Verdana"/>
          <w:sz w:val="20"/>
        </w:rPr>
        <w:t xml:space="preserve">las Victimas por 266,7 millones; </w:t>
      </w:r>
      <w:r w:rsidR="00F14703" w:rsidRPr="007705E3">
        <w:rPr>
          <w:rFonts w:ascii="Verdana" w:hAnsi="Verdana"/>
          <w:sz w:val="20"/>
        </w:rPr>
        <w:t xml:space="preserve">El </w:t>
      </w:r>
      <w:r w:rsidR="00E338C0">
        <w:rPr>
          <w:rFonts w:ascii="Verdana" w:hAnsi="Verdana"/>
          <w:sz w:val="20"/>
        </w:rPr>
        <w:t>12</w:t>
      </w:r>
      <w:r w:rsidR="00F14703" w:rsidRPr="007705E3">
        <w:rPr>
          <w:rFonts w:ascii="Verdana" w:hAnsi="Verdana"/>
          <w:sz w:val="20"/>
        </w:rPr>
        <w:t xml:space="preserve"> de </w:t>
      </w:r>
      <w:r w:rsidR="00E338C0">
        <w:rPr>
          <w:rFonts w:ascii="Verdana" w:hAnsi="Verdana"/>
          <w:sz w:val="20"/>
        </w:rPr>
        <w:t>julio de 2019</w:t>
      </w:r>
      <w:r w:rsidR="00F14703" w:rsidRPr="007705E3">
        <w:rPr>
          <w:rFonts w:ascii="Verdana" w:hAnsi="Verdana"/>
          <w:sz w:val="20"/>
        </w:rPr>
        <w:t xml:space="preserve"> el Ministerio de Hacienda y Crédito Público aprobó </w:t>
      </w:r>
      <w:r w:rsidR="00F14703">
        <w:rPr>
          <w:rFonts w:ascii="Verdana" w:hAnsi="Verdana"/>
          <w:sz w:val="20"/>
        </w:rPr>
        <w:t>la resolución</w:t>
      </w:r>
      <w:r w:rsidR="00F14703" w:rsidRPr="007705E3">
        <w:rPr>
          <w:rFonts w:ascii="Verdana" w:hAnsi="Verdana"/>
          <w:sz w:val="20"/>
        </w:rPr>
        <w:t xml:space="preserve"> </w:t>
      </w:r>
      <w:r w:rsidR="00E338C0">
        <w:rPr>
          <w:rFonts w:ascii="Verdana" w:hAnsi="Verdana"/>
          <w:sz w:val="20"/>
        </w:rPr>
        <w:t>232</w:t>
      </w:r>
      <w:r w:rsidR="00F14703">
        <w:rPr>
          <w:rFonts w:ascii="Verdana" w:hAnsi="Verdana"/>
          <w:sz w:val="20"/>
        </w:rPr>
        <w:t xml:space="preserve"> del</w:t>
      </w:r>
      <w:r w:rsidR="00F14703" w:rsidRPr="007705E3">
        <w:rPr>
          <w:rFonts w:ascii="Verdana" w:hAnsi="Verdana"/>
          <w:sz w:val="20"/>
        </w:rPr>
        <w:t xml:space="preserve"> 201</w:t>
      </w:r>
      <w:r w:rsidR="00F14703">
        <w:rPr>
          <w:rFonts w:ascii="Verdana" w:hAnsi="Verdana"/>
          <w:sz w:val="20"/>
        </w:rPr>
        <w:t>9</w:t>
      </w:r>
      <w:r w:rsidR="00F14703" w:rsidRPr="007705E3">
        <w:rPr>
          <w:rFonts w:ascii="Verdana" w:hAnsi="Verdana"/>
          <w:sz w:val="20"/>
        </w:rPr>
        <w:t xml:space="preserve">, mediante </w:t>
      </w:r>
      <w:r w:rsidR="00F14703">
        <w:rPr>
          <w:rFonts w:ascii="Verdana" w:hAnsi="Verdana"/>
          <w:sz w:val="20"/>
        </w:rPr>
        <w:t>la cual</w:t>
      </w:r>
      <w:r w:rsidR="00F14703" w:rsidRPr="007705E3">
        <w:rPr>
          <w:rFonts w:ascii="Verdana" w:hAnsi="Verdana"/>
          <w:sz w:val="20"/>
        </w:rPr>
        <w:t xml:space="preserve"> se distribuyó espacio fiscal para incorporar recursos de cooperación internacional </w:t>
      </w:r>
      <w:r w:rsidR="00F14703">
        <w:rPr>
          <w:rFonts w:ascii="Verdana" w:hAnsi="Verdana"/>
          <w:sz w:val="20"/>
        </w:rPr>
        <w:t xml:space="preserve">al presupuesto de inversión </w:t>
      </w:r>
      <w:r w:rsidR="00E338C0" w:rsidRPr="00E338C0">
        <w:rPr>
          <w:rFonts w:ascii="Verdana" w:hAnsi="Verdana"/>
          <w:sz w:val="20"/>
        </w:rPr>
        <w:t>para la Unidad Administrativa Especial para la Gestión de Restitución de Tierras Despojadas – UAEGRTD</w:t>
      </w:r>
      <w:r w:rsidR="00E338C0">
        <w:rPr>
          <w:rFonts w:ascii="Verdana" w:hAnsi="Verdana"/>
          <w:sz w:val="20"/>
        </w:rPr>
        <w:t xml:space="preserve"> por 81</w:t>
      </w:r>
      <w:r w:rsidR="00F14703">
        <w:rPr>
          <w:rFonts w:ascii="Verdana" w:hAnsi="Verdana"/>
          <w:sz w:val="20"/>
        </w:rPr>
        <w:t>,0 millones</w:t>
      </w:r>
      <w:r w:rsidR="00E338C0">
        <w:rPr>
          <w:rFonts w:ascii="Verdana" w:hAnsi="Verdana"/>
          <w:sz w:val="20"/>
        </w:rPr>
        <w:t>.</w:t>
      </w:r>
    </w:p>
    <w:p w:rsidR="00E04298" w:rsidRDefault="00E04298" w:rsidP="007705E3">
      <w:pPr>
        <w:jc w:val="both"/>
        <w:rPr>
          <w:rFonts w:ascii="Verdana" w:hAnsi="Verdana"/>
          <w:sz w:val="20"/>
        </w:rPr>
      </w:pPr>
    </w:p>
    <w:p w:rsidR="00283B0B" w:rsidRPr="007705E3" w:rsidRDefault="00283B0B" w:rsidP="00B9595B">
      <w:pPr>
        <w:rPr>
          <w:rFonts w:ascii="Verdana" w:hAnsi="Verdana"/>
          <w:sz w:val="20"/>
        </w:rPr>
      </w:pPr>
    </w:p>
    <w:sectPr w:rsidR="00283B0B" w:rsidRPr="007705E3" w:rsidSect="00FB3B05">
      <w:headerReference w:type="default" r:id="rId8"/>
      <w:footerReference w:type="default" r:id="rId9"/>
      <w:pgSz w:w="15840" w:h="12240" w:orient="landscape"/>
      <w:pgMar w:top="1985"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AD3" w:rsidRDefault="005B4AD3" w:rsidP="000D42D2">
      <w:r>
        <w:separator/>
      </w:r>
    </w:p>
  </w:endnote>
  <w:endnote w:type="continuationSeparator" w:id="0">
    <w:p w:rsidR="005B4AD3" w:rsidRDefault="005B4AD3" w:rsidP="000D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C4" w:rsidRDefault="003A11C2" w:rsidP="00B421C7">
    <w:pPr>
      <w:pStyle w:val="Piedepgina"/>
      <w:tabs>
        <w:tab w:val="clear" w:pos="4252"/>
        <w:tab w:val="clear" w:pos="8504"/>
        <w:tab w:val="left" w:pos="4138"/>
      </w:tabs>
    </w:pPr>
    <w:r>
      <w:rPr>
        <w:noProof/>
        <w:lang w:val="es-CO" w:eastAsia="es-CO"/>
      </w:rPr>
      <w:drawing>
        <wp:anchor distT="0" distB="0" distL="114300" distR="114300" simplePos="0" relativeHeight="251666432" behindDoc="1" locked="0" layoutInCell="1" allowOverlap="1" wp14:anchorId="6808CC7D" wp14:editId="3499C841">
          <wp:simplePos x="0" y="0"/>
          <wp:positionH relativeFrom="column">
            <wp:posOffset>-881380</wp:posOffset>
          </wp:positionH>
          <wp:positionV relativeFrom="paragraph">
            <wp:posOffset>-285750</wp:posOffset>
          </wp:positionV>
          <wp:extent cx="10020300" cy="8953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castrillon:Documents:Logotipo APC-2018:PIEZAS:Hoja Carta:Formato-hoja carta-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203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1C7">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AD3" w:rsidRDefault="005B4AD3" w:rsidP="000D42D2">
      <w:r>
        <w:separator/>
      </w:r>
    </w:p>
  </w:footnote>
  <w:footnote w:type="continuationSeparator" w:id="0">
    <w:p w:rsidR="005B4AD3" w:rsidRDefault="005B4AD3" w:rsidP="000D4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C4" w:rsidRDefault="003A11C2" w:rsidP="00FB3B05">
    <w:pPr>
      <w:pStyle w:val="Encabezado"/>
      <w:tabs>
        <w:tab w:val="clear" w:pos="4252"/>
        <w:tab w:val="clear" w:pos="8504"/>
        <w:tab w:val="left" w:pos="2822"/>
      </w:tabs>
    </w:pPr>
    <w:r>
      <w:rPr>
        <w:noProof/>
        <w:lang w:val="es-CO" w:eastAsia="es-CO"/>
      </w:rPr>
      <w:drawing>
        <wp:anchor distT="0" distB="0" distL="114300" distR="114300" simplePos="0" relativeHeight="251664384" behindDoc="1" locked="0" layoutInCell="1" allowOverlap="1">
          <wp:simplePos x="0" y="0"/>
          <wp:positionH relativeFrom="column">
            <wp:posOffset>23495</wp:posOffset>
          </wp:positionH>
          <wp:positionV relativeFrom="paragraph">
            <wp:posOffset>-135890</wp:posOffset>
          </wp:positionV>
          <wp:extent cx="4057650" cy="633095"/>
          <wp:effectExtent l="0" t="0" r="0" b="0"/>
          <wp:wrapTight wrapText="bothSides">
            <wp:wrapPolygon edited="0">
              <wp:start x="0" y="0"/>
              <wp:lineTo x="0" y="20798"/>
              <wp:lineTo x="21499" y="20798"/>
              <wp:lineTo x="21499" y="0"/>
              <wp:lineTo x="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57650" cy="633095"/>
                  </a:xfrm>
                  <a:prstGeom prst="rect">
                    <a:avLst/>
                  </a:prstGeom>
                </pic:spPr>
              </pic:pic>
            </a:graphicData>
          </a:graphic>
          <wp14:sizeRelH relativeFrom="margin">
            <wp14:pctWidth>0</wp14:pctWidth>
          </wp14:sizeRelH>
          <wp14:sizeRelV relativeFrom="margin">
            <wp14:pctHeight>0</wp14:pctHeight>
          </wp14:sizeRelV>
        </wp:anchor>
      </w:drawing>
    </w:r>
    <w:r w:rsidR="009B3370">
      <w:rPr>
        <w:rFonts w:ascii="Times New Roman" w:hAnsi="Times New Roman" w:cs="Times New Roman"/>
        <w:noProof/>
        <w:lang w:val="es-CO" w:eastAsia="es-CO"/>
      </w:rPr>
      <mc:AlternateContent>
        <mc:Choice Requires="wps">
          <w:drawing>
            <wp:anchor distT="0" distB="0" distL="114300" distR="114300" simplePos="0" relativeHeight="251663360" behindDoc="0" locked="0" layoutInCell="1" allowOverlap="1" wp14:anchorId="51262CCC" wp14:editId="65177D0C">
              <wp:simplePos x="0" y="0"/>
              <wp:positionH relativeFrom="margin">
                <wp:posOffset>2332355</wp:posOffset>
              </wp:positionH>
              <wp:positionV relativeFrom="paragraph">
                <wp:posOffset>607060</wp:posOffset>
              </wp:positionV>
              <wp:extent cx="2593340" cy="176530"/>
              <wp:effectExtent l="0" t="0" r="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370" w:rsidRDefault="009B3370" w:rsidP="009B3370">
                          <w:pPr>
                            <w:pStyle w:val="NormalWeb"/>
                            <w:tabs>
                              <w:tab w:val="center" w:pos="4419"/>
                              <w:tab w:val="right" w:pos="7655"/>
                              <w:tab w:val="right" w:pos="8838"/>
                            </w:tabs>
                            <w:rPr>
                              <w:rFonts w:ascii="Arial Narrow" w:eastAsiaTheme="minorHAnsi" w:hAnsi="Arial Narrow" w:cstheme="minorBidi"/>
                              <w:bCs/>
                              <w:sz w:val="14"/>
                              <w:lang w:val="es-MX"/>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262CCC" id="_x0000_t202" coordsize="21600,21600" o:spt="202" path="m,l,21600r21600,l21600,xe">
              <v:stroke joinstyle="miter"/>
              <v:path gradientshapeok="t" o:connecttype="rect"/>
            </v:shapetype>
            <v:shape id="Cuadro de texto 1" o:spid="_x0000_s1026" type="#_x0000_t202" style="position:absolute;margin-left:183.65pt;margin-top:47.8pt;width:204.2pt;height:13.9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" filled="f" stroked="f">
              <v:textbox style="mso-fit-shape-to-text:t">
                <w:txbxContent>
                  <w:p w:rsidR="009B3370" w:rsidRDefault="009B3370" w:rsidP="009B3370">
                    <w:pPr>
                      <w:pStyle w:val="NormalWeb"/>
                      <w:tabs>
                        <w:tab w:val="center" w:pos="4419"/>
                        <w:tab w:val="right" w:pos="7655"/>
                        <w:tab w:val="right" w:pos="8838"/>
                      </w:tabs>
                      <w:rPr>
                        <w:rFonts w:ascii="Arial Narrow" w:eastAsiaTheme="minorHAnsi" w:hAnsi="Arial Narrow" w:cstheme="minorBidi"/>
                        <w:bCs/>
                        <w:sz w:val="14"/>
                        <w:lang w:val="es-MX"/>
                      </w:rPr>
                    </w:pPr>
                  </w:p>
                </w:txbxContent>
              </v:textbox>
              <w10:wrap anchorx="margin"/>
            </v:shape>
          </w:pict>
        </mc:Fallback>
      </mc:AlternateContent>
    </w:r>
    <w:r w:rsidR="00FB3B0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7498"/>
    <w:multiLevelType w:val="hybridMultilevel"/>
    <w:tmpl w:val="C0B69214"/>
    <w:lvl w:ilvl="0" w:tplc="7908C24E">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
    <w:nsid w:val="087636BA"/>
    <w:multiLevelType w:val="hybridMultilevel"/>
    <w:tmpl w:val="0B1A480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3B667A"/>
    <w:multiLevelType w:val="hybridMultilevel"/>
    <w:tmpl w:val="95AECA1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F5F4927"/>
    <w:multiLevelType w:val="hybridMultilevel"/>
    <w:tmpl w:val="2592D2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9BD616E"/>
    <w:multiLevelType w:val="hybridMultilevel"/>
    <w:tmpl w:val="34A86B9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9EA2BA3"/>
    <w:multiLevelType w:val="hybridMultilevel"/>
    <w:tmpl w:val="B0E26F16"/>
    <w:lvl w:ilvl="0" w:tplc="2480CDB8">
      <w:start w:val="1"/>
      <w:numFmt w:val="decimal"/>
      <w:lvlText w:val="%1)"/>
      <w:lvlJc w:val="left"/>
      <w:pPr>
        <w:ind w:left="720" w:hanging="360"/>
      </w:pPr>
      <w:rPr>
        <w:rFonts w:ascii="Verdana" w:eastAsiaTheme="minorEastAsia" w:hAnsi="Verdan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C8F381F"/>
    <w:multiLevelType w:val="hybridMultilevel"/>
    <w:tmpl w:val="4112CC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8205023"/>
    <w:multiLevelType w:val="hybridMultilevel"/>
    <w:tmpl w:val="F042C28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D634CAD"/>
    <w:multiLevelType w:val="hybridMultilevel"/>
    <w:tmpl w:val="F528BA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00E2595"/>
    <w:multiLevelType w:val="hybridMultilevel"/>
    <w:tmpl w:val="091CF8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43E5393"/>
    <w:multiLevelType w:val="hybridMultilevel"/>
    <w:tmpl w:val="47B450A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58609D0"/>
    <w:multiLevelType w:val="hybridMultilevel"/>
    <w:tmpl w:val="BF62CA10"/>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E92446"/>
    <w:multiLevelType w:val="hybridMultilevel"/>
    <w:tmpl w:val="72047ECA"/>
    <w:lvl w:ilvl="0" w:tplc="240A000B">
      <w:start w:val="1"/>
      <w:numFmt w:val="bullet"/>
      <w:lvlText w:val=""/>
      <w:lvlJc w:val="left"/>
      <w:pPr>
        <w:ind w:left="795" w:hanging="360"/>
      </w:pPr>
      <w:rPr>
        <w:rFonts w:ascii="Wingdings" w:hAnsi="Wingdings"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nsid w:val="773A4BAE"/>
    <w:multiLevelType w:val="hybridMultilevel"/>
    <w:tmpl w:val="CFD2329C"/>
    <w:lvl w:ilvl="0" w:tplc="2F5EB226">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B46002B"/>
    <w:multiLevelType w:val="hybridMultilevel"/>
    <w:tmpl w:val="518E12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3"/>
  </w:num>
  <w:num w:numId="3">
    <w:abstractNumId w:val="7"/>
  </w:num>
  <w:num w:numId="4">
    <w:abstractNumId w:val="9"/>
  </w:num>
  <w:num w:numId="5">
    <w:abstractNumId w:val="10"/>
  </w:num>
  <w:num w:numId="6">
    <w:abstractNumId w:val="0"/>
  </w:num>
  <w:num w:numId="7">
    <w:abstractNumId w:val="5"/>
  </w:num>
  <w:num w:numId="8">
    <w:abstractNumId w:val="1"/>
  </w:num>
  <w:num w:numId="9">
    <w:abstractNumId w:val="6"/>
  </w:num>
  <w:num w:numId="10">
    <w:abstractNumId w:val="4"/>
  </w:num>
  <w:num w:numId="11">
    <w:abstractNumId w:val="8"/>
  </w:num>
  <w:num w:numId="12">
    <w:abstractNumId w:val="14"/>
  </w:num>
  <w:num w:numId="13">
    <w:abstractNumId w:val="1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D2"/>
    <w:rsid w:val="00001159"/>
    <w:rsid w:val="0000129B"/>
    <w:rsid w:val="0000150E"/>
    <w:rsid w:val="00002183"/>
    <w:rsid w:val="00002DBF"/>
    <w:rsid w:val="00007621"/>
    <w:rsid w:val="00007EA0"/>
    <w:rsid w:val="000101B6"/>
    <w:rsid w:val="00012B2E"/>
    <w:rsid w:val="000141D8"/>
    <w:rsid w:val="000145BA"/>
    <w:rsid w:val="000239CD"/>
    <w:rsid w:val="000245A9"/>
    <w:rsid w:val="00024E82"/>
    <w:rsid w:val="000258B2"/>
    <w:rsid w:val="00025E66"/>
    <w:rsid w:val="000265A6"/>
    <w:rsid w:val="0003104B"/>
    <w:rsid w:val="000322FF"/>
    <w:rsid w:val="0003267E"/>
    <w:rsid w:val="000327FA"/>
    <w:rsid w:val="00033284"/>
    <w:rsid w:val="0003383D"/>
    <w:rsid w:val="000345DF"/>
    <w:rsid w:val="00034819"/>
    <w:rsid w:val="000355ED"/>
    <w:rsid w:val="000363B7"/>
    <w:rsid w:val="0003676F"/>
    <w:rsid w:val="00037145"/>
    <w:rsid w:val="000419AD"/>
    <w:rsid w:val="00041BCF"/>
    <w:rsid w:val="00044C82"/>
    <w:rsid w:val="000455A0"/>
    <w:rsid w:val="00045732"/>
    <w:rsid w:val="00047B73"/>
    <w:rsid w:val="00052079"/>
    <w:rsid w:val="00052EE3"/>
    <w:rsid w:val="0005426F"/>
    <w:rsid w:val="00054696"/>
    <w:rsid w:val="00060DA8"/>
    <w:rsid w:val="00062CAB"/>
    <w:rsid w:val="00063D0F"/>
    <w:rsid w:val="000669AC"/>
    <w:rsid w:val="00066FF6"/>
    <w:rsid w:val="000670E3"/>
    <w:rsid w:val="00070B9F"/>
    <w:rsid w:val="00072D5B"/>
    <w:rsid w:val="00074646"/>
    <w:rsid w:val="000756F0"/>
    <w:rsid w:val="00076094"/>
    <w:rsid w:val="00076138"/>
    <w:rsid w:val="0008212A"/>
    <w:rsid w:val="00083246"/>
    <w:rsid w:val="000842C8"/>
    <w:rsid w:val="00084B60"/>
    <w:rsid w:val="0008702D"/>
    <w:rsid w:val="00087216"/>
    <w:rsid w:val="00087EB8"/>
    <w:rsid w:val="00090729"/>
    <w:rsid w:val="00091CF9"/>
    <w:rsid w:val="000944BB"/>
    <w:rsid w:val="00097F47"/>
    <w:rsid w:val="000A0999"/>
    <w:rsid w:val="000A103A"/>
    <w:rsid w:val="000A338A"/>
    <w:rsid w:val="000A3642"/>
    <w:rsid w:val="000A3E20"/>
    <w:rsid w:val="000A58D8"/>
    <w:rsid w:val="000A6AED"/>
    <w:rsid w:val="000A7186"/>
    <w:rsid w:val="000B10ED"/>
    <w:rsid w:val="000B4931"/>
    <w:rsid w:val="000B4CFF"/>
    <w:rsid w:val="000B678D"/>
    <w:rsid w:val="000B688F"/>
    <w:rsid w:val="000C0F06"/>
    <w:rsid w:val="000C1F69"/>
    <w:rsid w:val="000C5C51"/>
    <w:rsid w:val="000C69C6"/>
    <w:rsid w:val="000C745E"/>
    <w:rsid w:val="000C76ED"/>
    <w:rsid w:val="000D0CCE"/>
    <w:rsid w:val="000D25B0"/>
    <w:rsid w:val="000D3334"/>
    <w:rsid w:val="000D3FEB"/>
    <w:rsid w:val="000D42D2"/>
    <w:rsid w:val="000D46E1"/>
    <w:rsid w:val="000D64BD"/>
    <w:rsid w:val="000D7985"/>
    <w:rsid w:val="000E0C0F"/>
    <w:rsid w:val="000E3954"/>
    <w:rsid w:val="000E4495"/>
    <w:rsid w:val="000E4B37"/>
    <w:rsid w:val="000E582D"/>
    <w:rsid w:val="000E72B5"/>
    <w:rsid w:val="000E7A76"/>
    <w:rsid w:val="000F00F2"/>
    <w:rsid w:val="000F097E"/>
    <w:rsid w:val="000F1D72"/>
    <w:rsid w:val="000F2DF5"/>
    <w:rsid w:val="000F43E9"/>
    <w:rsid w:val="000F50CE"/>
    <w:rsid w:val="000F5F4F"/>
    <w:rsid w:val="000F74E7"/>
    <w:rsid w:val="00100B8A"/>
    <w:rsid w:val="00100BDB"/>
    <w:rsid w:val="001012B9"/>
    <w:rsid w:val="00103AEF"/>
    <w:rsid w:val="00103CD2"/>
    <w:rsid w:val="00104122"/>
    <w:rsid w:val="00104B75"/>
    <w:rsid w:val="0010548D"/>
    <w:rsid w:val="00106029"/>
    <w:rsid w:val="0010700D"/>
    <w:rsid w:val="00110126"/>
    <w:rsid w:val="0011015F"/>
    <w:rsid w:val="001117A6"/>
    <w:rsid w:val="00112015"/>
    <w:rsid w:val="00112321"/>
    <w:rsid w:val="00113F88"/>
    <w:rsid w:val="0011463B"/>
    <w:rsid w:val="00114D1B"/>
    <w:rsid w:val="00115EBC"/>
    <w:rsid w:val="001160A3"/>
    <w:rsid w:val="00116FC5"/>
    <w:rsid w:val="0012070D"/>
    <w:rsid w:val="001208B7"/>
    <w:rsid w:val="001217CD"/>
    <w:rsid w:val="00121948"/>
    <w:rsid w:val="00123A1A"/>
    <w:rsid w:val="00123DEA"/>
    <w:rsid w:val="001243F5"/>
    <w:rsid w:val="00124C7F"/>
    <w:rsid w:val="001251B0"/>
    <w:rsid w:val="00126649"/>
    <w:rsid w:val="00126B25"/>
    <w:rsid w:val="00126F41"/>
    <w:rsid w:val="00127466"/>
    <w:rsid w:val="00130EF2"/>
    <w:rsid w:val="00132F60"/>
    <w:rsid w:val="001358DD"/>
    <w:rsid w:val="001401CF"/>
    <w:rsid w:val="00143276"/>
    <w:rsid w:val="00144029"/>
    <w:rsid w:val="00144144"/>
    <w:rsid w:val="00144592"/>
    <w:rsid w:val="001447A3"/>
    <w:rsid w:val="00145653"/>
    <w:rsid w:val="00146065"/>
    <w:rsid w:val="00146E14"/>
    <w:rsid w:val="00147638"/>
    <w:rsid w:val="00154350"/>
    <w:rsid w:val="00154641"/>
    <w:rsid w:val="001547D4"/>
    <w:rsid w:val="00155E80"/>
    <w:rsid w:val="00156DED"/>
    <w:rsid w:val="0015718A"/>
    <w:rsid w:val="001574A9"/>
    <w:rsid w:val="00157F71"/>
    <w:rsid w:val="00160E5D"/>
    <w:rsid w:val="001620CE"/>
    <w:rsid w:val="001635AC"/>
    <w:rsid w:val="001644BB"/>
    <w:rsid w:val="001645D6"/>
    <w:rsid w:val="0016603E"/>
    <w:rsid w:val="00166AED"/>
    <w:rsid w:val="00172997"/>
    <w:rsid w:val="00172CB9"/>
    <w:rsid w:val="00173336"/>
    <w:rsid w:val="001738E7"/>
    <w:rsid w:val="00176925"/>
    <w:rsid w:val="00177162"/>
    <w:rsid w:val="0018112F"/>
    <w:rsid w:val="00182BFD"/>
    <w:rsid w:val="0018536E"/>
    <w:rsid w:val="00192EC0"/>
    <w:rsid w:val="00195CB4"/>
    <w:rsid w:val="001968AE"/>
    <w:rsid w:val="00196AAC"/>
    <w:rsid w:val="00196D9B"/>
    <w:rsid w:val="001974EF"/>
    <w:rsid w:val="001A11F3"/>
    <w:rsid w:val="001A2C44"/>
    <w:rsid w:val="001A3E44"/>
    <w:rsid w:val="001A40CB"/>
    <w:rsid w:val="001A449D"/>
    <w:rsid w:val="001A58BC"/>
    <w:rsid w:val="001A5CE3"/>
    <w:rsid w:val="001A7803"/>
    <w:rsid w:val="001A7A79"/>
    <w:rsid w:val="001A7FF3"/>
    <w:rsid w:val="001B015C"/>
    <w:rsid w:val="001B14AF"/>
    <w:rsid w:val="001B1F16"/>
    <w:rsid w:val="001B2B2B"/>
    <w:rsid w:val="001B2BED"/>
    <w:rsid w:val="001B4690"/>
    <w:rsid w:val="001B64CC"/>
    <w:rsid w:val="001B6727"/>
    <w:rsid w:val="001B7049"/>
    <w:rsid w:val="001C0118"/>
    <w:rsid w:val="001C0F84"/>
    <w:rsid w:val="001C1F0E"/>
    <w:rsid w:val="001C2367"/>
    <w:rsid w:val="001C3F9F"/>
    <w:rsid w:val="001C53A2"/>
    <w:rsid w:val="001C725E"/>
    <w:rsid w:val="001D11D2"/>
    <w:rsid w:val="001D1D07"/>
    <w:rsid w:val="001D1F74"/>
    <w:rsid w:val="001D4874"/>
    <w:rsid w:val="001D4EEF"/>
    <w:rsid w:val="001D5307"/>
    <w:rsid w:val="001D6B2C"/>
    <w:rsid w:val="001D7680"/>
    <w:rsid w:val="001E0801"/>
    <w:rsid w:val="001E0B18"/>
    <w:rsid w:val="001E22C0"/>
    <w:rsid w:val="001E2EA5"/>
    <w:rsid w:val="001E4610"/>
    <w:rsid w:val="001E5A6C"/>
    <w:rsid w:val="001E6568"/>
    <w:rsid w:val="001E6F30"/>
    <w:rsid w:val="001E7DFA"/>
    <w:rsid w:val="001F41E7"/>
    <w:rsid w:val="001F5002"/>
    <w:rsid w:val="001F517D"/>
    <w:rsid w:val="001F5213"/>
    <w:rsid w:val="001F6498"/>
    <w:rsid w:val="001F6745"/>
    <w:rsid w:val="002009D2"/>
    <w:rsid w:val="00203FD4"/>
    <w:rsid w:val="00204C8E"/>
    <w:rsid w:val="00205330"/>
    <w:rsid w:val="00205C13"/>
    <w:rsid w:val="00205D21"/>
    <w:rsid w:val="00206E99"/>
    <w:rsid w:val="00210E47"/>
    <w:rsid w:val="00211CC2"/>
    <w:rsid w:val="00211E13"/>
    <w:rsid w:val="00212C54"/>
    <w:rsid w:val="00212D93"/>
    <w:rsid w:val="00213397"/>
    <w:rsid w:val="00213C4B"/>
    <w:rsid w:val="00213FF2"/>
    <w:rsid w:val="00216932"/>
    <w:rsid w:val="0022076C"/>
    <w:rsid w:val="00220BAC"/>
    <w:rsid w:val="0022342E"/>
    <w:rsid w:val="00224892"/>
    <w:rsid w:val="0023060C"/>
    <w:rsid w:val="00232161"/>
    <w:rsid w:val="00232C17"/>
    <w:rsid w:val="00234513"/>
    <w:rsid w:val="00234E57"/>
    <w:rsid w:val="002354E5"/>
    <w:rsid w:val="002360E0"/>
    <w:rsid w:val="00237829"/>
    <w:rsid w:val="00237E79"/>
    <w:rsid w:val="002400AA"/>
    <w:rsid w:val="00241F24"/>
    <w:rsid w:val="00243D5E"/>
    <w:rsid w:val="00244E97"/>
    <w:rsid w:val="002457D5"/>
    <w:rsid w:val="00245D35"/>
    <w:rsid w:val="00246011"/>
    <w:rsid w:val="00247819"/>
    <w:rsid w:val="0025037B"/>
    <w:rsid w:val="00250DE8"/>
    <w:rsid w:val="00251B86"/>
    <w:rsid w:val="00251F73"/>
    <w:rsid w:val="00253AFA"/>
    <w:rsid w:val="00254694"/>
    <w:rsid w:val="00255E96"/>
    <w:rsid w:val="00255F59"/>
    <w:rsid w:val="00255FB4"/>
    <w:rsid w:val="002571E7"/>
    <w:rsid w:val="0026092F"/>
    <w:rsid w:val="00264608"/>
    <w:rsid w:val="00265A04"/>
    <w:rsid w:val="00265D9B"/>
    <w:rsid w:val="00273008"/>
    <w:rsid w:val="002747A5"/>
    <w:rsid w:val="00274952"/>
    <w:rsid w:val="00274D3C"/>
    <w:rsid w:val="00274FB5"/>
    <w:rsid w:val="002758E6"/>
    <w:rsid w:val="002762E5"/>
    <w:rsid w:val="002772EE"/>
    <w:rsid w:val="00277378"/>
    <w:rsid w:val="002837B2"/>
    <w:rsid w:val="00283B0B"/>
    <w:rsid w:val="00284182"/>
    <w:rsid w:val="00284395"/>
    <w:rsid w:val="00286DF3"/>
    <w:rsid w:val="002876A6"/>
    <w:rsid w:val="00291F1C"/>
    <w:rsid w:val="002926C1"/>
    <w:rsid w:val="00292784"/>
    <w:rsid w:val="00293476"/>
    <w:rsid w:val="00296429"/>
    <w:rsid w:val="00296A70"/>
    <w:rsid w:val="002A0D37"/>
    <w:rsid w:val="002A1602"/>
    <w:rsid w:val="002A6251"/>
    <w:rsid w:val="002A6F64"/>
    <w:rsid w:val="002A7337"/>
    <w:rsid w:val="002B1243"/>
    <w:rsid w:val="002B1293"/>
    <w:rsid w:val="002B13F8"/>
    <w:rsid w:val="002B1F8C"/>
    <w:rsid w:val="002B2795"/>
    <w:rsid w:val="002B3F03"/>
    <w:rsid w:val="002B435B"/>
    <w:rsid w:val="002B4E41"/>
    <w:rsid w:val="002B54D7"/>
    <w:rsid w:val="002B6279"/>
    <w:rsid w:val="002B6891"/>
    <w:rsid w:val="002B7882"/>
    <w:rsid w:val="002B7AF6"/>
    <w:rsid w:val="002B7C0A"/>
    <w:rsid w:val="002C4438"/>
    <w:rsid w:val="002C454E"/>
    <w:rsid w:val="002C483A"/>
    <w:rsid w:val="002C5256"/>
    <w:rsid w:val="002C53DD"/>
    <w:rsid w:val="002C63AF"/>
    <w:rsid w:val="002D03FC"/>
    <w:rsid w:val="002D11E8"/>
    <w:rsid w:val="002D1CA4"/>
    <w:rsid w:val="002D4564"/>
    <w:rsid w:val="002D4C07"/>
    <w:rsid w:val="002D5316"/>
    <w:rsid w:val="002D5AE0"/>
    <w:rsid w:val="002D6765"/>
    <w:rsid w:val="002D6DF6"/>
    <w:rsid w:val="002D719A"/>
    <w:rsid w:val="002E037F"/>
    <w:rsid w:val="002E19CE"/>
    <w:rsid w:val="002E3D99"/>
    <w:rsid w:val="002E6950"/>
    <w:rsid w:val="002F06C2"/>
    <w:rsid w:val="002F0BD3"/>
    <w:rsid w:val="002F0DF6"/>
    <w:rsid w:val="002F14C2"/>
    <w:rsid w:val="002F2295"/>
    <w:rsid w:val="002F433E"/>
    <w:rsid w:val="002F4FDB"/>
    <w:rsid w:val="002F531E"/>
    <w:rsid w:val="002F6AA6"/>
    <w:rsid w:val="00302CBA"/>
    <w:rsid w:val="0030355A"/>
    <w:rsid w:val="00307220"/>
    <w:rsid w:val="003074AA"/>
    <w:rsid w:val="00313B5F"/>
    <w:rsid w:val="00315431"/>
    <w:rsid w:val="00315643"/>
    <w:rsid w:val="00316E86"/>
    <w:rsid w:val="00323CD9"/>
    <w:rsid w:val="00324055"/>
    <w:rsid w:val="00324FBA"/>
    <w:rsid w:val="00326A4A"/>
    <w:rsid w:val="00326EAA"/>
    <w:rsid w:val="00326F9E"/>
    <w:rsid w:val="00330D08"/>
    <w:rsid w:val="00331583"/>
    <w:rsid w:val="0033305E"/>
    <w:rsid w:val="00333A74"/>
    <w:rsid w:val="00333AF5"/>
    <w:rsid w:val="00334403"/>
    <w:rsid w:val="003357D2"/>
    <w:rsid w:val="0033771B"/>
    <w:rsid w:val="00341497"/>
    <w:rsid w:val="00342BC9"/>
    <w:rsid w:val="00344DCE"/>
    <w:rsid w:val="00347499"/>
    <w:rsid w:val="0034775A"/>
    <w:rsid w:val="00350149"/>
    <w:rsid w:val="00350551"/>
    <w:rsid w:val="0035111A"/>
    <w:rsid w:val="00351749"/>
    <w:rsid w:val="00353B9A"/>
    <w:rsid w:val="00355DFC"/>
    <w:rsid w:val="00360394"/>
    <w:rsid w:val="00360771"/>
    <w:rsid w:val="00360D05"/>
    <w:rsid w:val="00363008"/>
    <w:rsid w:val="003656E7"/>
    <w:rsid w:val="00365E78"/>
    <w:rsid w:val="0036641A"/>
    <w:rsid w:val="0036793A"/>
    <w:rsid w:val="00367CE7"/>
    <w:rsid w:val="0037032C"/>
    <w:rsid w:val="00370C16"/>
    <w:rsid w:val="003725D8"/>
    <w:rsid w:val="00374439"/>
    <w:rsid w:val="003754DB"/>
    <w:rsid w:val="0037712E"/>
    <w:rsid w:val="003774D6"/>
    <w:rsid w:val="003775DA"/>
    <w:rsid w:val="00377A56"/>
    <w:rsid w:val="00382221"/>
    <w:rsid w:val="00382611"/>
    <w:rsid w:val="003827F0"/>
    <w:rsid w:val="00382C70"/>
    <w:rsid w:val="00383069"/>
    <w:rsid w:val="00383503"/>
    <w:rsid w:val="00384BA9"/>
    <w:rsid w:val="003879A1"/>
    <w:rsid w:val="00391F15"/>
    <w:rsid w:val="00392FD5"/>
    <w:rsid w:val="00395614"/>
    <w:rsid w:val="0039662D"/>
    <w:rsid w:val="003966EE"/>
    <w:rsid w:val="00396EB5"/>
    <w:rsid w:val="00396EBF"/>
    <w:rsid w:val="00396EFB"/>
    <w:rsid w:val="00397300"/>
    <w:rsid w:val="00397826"/>
    <w:rsid w:val="003A0145"/>
    <w:rsid w:val="003A09C5"/>
    <w:rsid w:val="003A11C2"/>
    <w:rsid w:val="003A31FA"/>
    <w:rsid w:val="003A32AB"/>
    <w:rsid w:val="003A3C1F"/>
    <w:rsid w:val="003A4A1F"/>
    <w:rsid w:val="003A4DBC"/>
    <w:rsid w:val="003A5684"/>
    <w:rsid w:val="003A583D"/>
    <w:rsid w:val="003A5F8C"/>
    <w:rsid w:val="003A6AFB"/>
    <w:rsid w:val="003A742D"/>
    <w:rsid w:val="003B1977"/>
    <w:rsid w:val="003B19A9"/>
    <w:rsid w:val="003B3BB4"/>
    <w:rsid w:val="003B44FE"/>
    <w:rsid w:val="003B4994"/>
    <w:rsid w:val="003B61E7"/>
    <w:rsid w:val="003B73DB"/>
    <w:rsid w:val="003C06E0"/>
    <w:rsid w:val="003C118D"/>
    <w:rsid w:val="003C22F5"/>
    <w:rsid w:val="003C330C"/>
    <w:rsid w:val="003C396A"/>
    <w:rsid w:val="003C4D32"/>
    <w:rsid w:val="003C51CF"/>
    <w:rsid w:val="003C58A7"/>
    <w:rsid w:val="003C5BB3"/>
    <w:rsid w:val="003C677D"/>
    <w:rsid w:val="003C76D4"/>
    <w:rsid w:val="003C7ECA"/>
    <w:rsid w:val="003C7F29"/>
    <w:rsid w:val="003D267A"/>
    <w:rsid w:val="003D28B1"/>
    <w:rsid w:val="003D528E"/>
    <w:rsid w:val="003D52A5"/>
    <w:rsid w:val="003D6889"/>
    <w:rsid w:val="003D6FA7"/>
    <w:rsid w:val="003D76DD"/>
    <w:rsid w:val="003D7739"/>
    <w:rsid w:val="003D7C1A"/>
    <w:rsid w:val="003E01B6"/>
    <w:rsid w:val="003E10C8"/>
    <w:rsid w:val="003E138E"/>
    <w:rsid w:val="003E17AF"/>
    <w:rsid w:val="003E351F"/>
    <w:rsid w:val="003E42EA"/>
    <w:rsid w:val="003F06C2"/>
    <w:rsid w:val="003F0AD5"/>
    <w:rsid w:val="003F0FA3"/>
    <w:rsid w:val="003F2322"/>
    <w:rsid w:val="003F246B"/>
    <w:rsid w:val="003F27E7"/>
    <w:rsid w:val="003F347F"/>
    <w:rsid w:val="003F607B"/>
    <w:rsid w:val="0040121F"/>
    <w:rsid w:val="00404E97"/>
    <w:rsid w:val="00405E6C"/>
    <w:rsid w:val="00407FD2"/>
    <w:rsid w:val="00411873"/>
    <w:rsid w:val="00413E0C"/>
    <w:rsid w:val="00415A61"/>
    <w:rsid w:val="004162C2"/>
    <w:rsid w:val="004166EF"/>
    <w:rsid w:val="004172CF"/>
    <w:rsid w:val="0042533F"/>
    <w:rsid w:val="00425BBC"/>
    <w:rsid w:val="00426224"/>
    <w:rsid w:val="00426BF5"/>
    <w:rsid w:val="00426D3A"/>
    <w:rsid w:val="00427DC2"/>
    <w:rsid w:val="00427DCD"/>
    <w:rsid w:val="004339F0"/>
    <w:rsid w:val="004346C7"/>
    <w:rsid w:val="00434987"/>
    <w:rsid w:val="00434D94"/>
    <w:rsid w:val="00437F14"/>
    <w:rsid w:val="00441C38"/>
    <w:rsid w:val="00443E32"/>
    <w:rsid w:val="004440F8"/>
    <w:rsid w:val="004442B1"/>
    <w:rsid w:val="0044552A"/>
    <w:rsid w:val="00445E9A"/>
    <w:rsid w:val="00450097"/>
    <w:rsid w:val="004506C0"/>
    <w:rsid w:val="00450773"/>
    <w:rsid w:val="004509FE"/>
    <w:rsid w:val="0045189C"/>
    <w:rsid w:val="00451D8B"/>
    <w:rsid w:val="00453ED1"/>
    <w:rsid w:val="00454E3D"/>
    <w:rsid w:val="00455F72"/>
    <w:rsid w:val="00456CE5"/>
    <w:rsid w:val="00460C08"/>
    <w:rsid w:val="004624AB"/>
    <w:rsid w:val="0046420F"/>
    <w:rsid w:val="00464CE7"/>
    <w:rsid w:val="004672AF"/>
    <w:rsid w:val="00470875"/>
    <w:rsid w:val="00474FBD"/>
    <w:rsid w:val="004757DE"/>
    <w:rsid w:val="00475859"/>
    <w:rsid w:val="00476DFF"/>
    <w:rsid w:val="004775B7"/>
    <w:rsid w:val="004779AA"/>
    <w:rsid w:val="00480F2E"/>
    <w:rsid w:val="00481B46"/>
    <w:rsid w:val="00482E4C"/>
    <w:rsid w:val="00483329"/>
    <w:rsid w:val="00483E61"/>
    <w:rsid w:val="00485CA6"/>
    <w:rsid w:val="00490246"/>
    <w:rsid w:val="00490925"/>
    <w:rsid w:val="00491107"/>
    <w:rsid w:val="00491D45"/>
    <w:rsid w:val="00493ADA"/>
    <w:rsid w:val="004946BE"/>
    <w:rsid w:val="00494F72"/>
    <w:rsid w:val="004952EB"/>
    <w:rsid w:val="00496035"/>
    <w:rsid w:val="0049603A"/>
    <w:rsid w:val="00496162"/>
    <w:rsid w:val="004969E0"/>
    <w:rsid w:val="004A125D"/>
    <w:rsid w:val="004A21C2"/>
    <w:rsid w:val="004A25FD"/>
    <w:rsid w:val="004A32FE"/>
    <w:rsid w:val="004A6809"/>
    <w:rsid w:val="004A6F38"/>
    <w:rsid w:val="004A74F0"/>
    <w:rsid w:val="004B047D"/>
    <w:rsid w:val="004B0727"/>
    <w:rsid w:val="004B5269"/>
    <w:rsid w:val="004C100A"/>
    <w:rsid w:val="004C471E"/>
    <w:rsid w:val="004C5B4B"/>
    <w:rsid w:val="004C6454"/>
    <w:rsid w:val="004D0FC7"/>
    <w:rsid w:val="004D29CE"/>
    <w:rsid w:val="004D29D4"/>
    <w:rsid w:val="004D4921"/>
    <w:rsid w:val="004D51DB"/>
    <w:rsid w:val="004D5329"/>
    <w:rsid w:val="004D5344"/>
    <w:rsid w:val="004D5B1A"/>
    <w:rsid w:val="004D5CF6"/>
    <w:rsid w:val="004D71C5"/>
    <w:rsid w:val="004D756C"/>
    <w:rsid w:val="004E301F"/>
    <w:rsid w:val="004E390C"/>
    <w:rsid w:val="004E4201"/>
    <w:rsid w:val="004E4823"/>
    <w:rsid w:val="004E52EC"/>
    <w:rsid w:val="004E597B"/>
    <w:rsid w:val="004E5B75"/>
    <w:rsid w:val="004E6A4F"/>
    <w:rsid w:val="004F169C"/>
    <w:rsid w:val="004F2FC9"/>
    <w:rsid w:val="004F429D"/>
    <w:rsid w:val="004F6CA7"/>
    <w:rsid w:val="004F7677"/>
    <w:rsid w:val="004F7D1E"/>
    <w:rsid w:val="00500377"/>
    <w:rsid w:val="005021C4"/>
    <w:rsid w:val="005035AC"/>
    <w:rsid w:val="00503875"/>
    <w:rsid w:val="00503B17"/>
    <w:rsid w:val="0050461D"/>
    <w:rsid w:val="00506081"/>
    <w:rsid w:val="00506639"/>
    <w:rsid w:val="00507076"/>
    <w:rsid w:val="005109A6"/>
    <w:rsid w:val="005110AE"/>
    <w:rsid w:val="00511E8C"/>
    <w:rsid w:val="00512D3D"/>
    <w:rsid w:val="005130AA"/>
    <w:rsid w:val="005137E7"/>
    <w:rsid w:val="00514817"/>
    <w:rsid w:val="00514C9B"/>
    <w:rsid w:val="00514D4B"/>
    <w:rsid w:val="0051568B"/>
    <w:rsid w:val="00516FBD"/>
    <w:rsid w:val="005179D3"/>
    <w:rsid w:val="00517A91"/>
    <w:rsid w:val="00517EEF"/>
    <w:rsid w:val="00520853"/>
    <w:rsid w:val="00520F26"/>
    <w:rsid w:val="00521F6F"/>
    <w:rsid w:val="00522114"/>
    <w:rsid w:val="00522588"/>
    <w:rsid w:val="005238A0"/>
    <w:rsid w:val="0052400E"/>
    <w:rsid w:val="00524876"/>
    <w:rsid w:val="00524F43"/>
    <w:rsid w:val="00525787"/>
    <w:rsid w:val="005274AA"/>
    <w:rsid w:val="00527BBB"/>
    <w:rsid w:val="00527C49"/>
    <w:rsid w:val="0053002F"/>
    <w:rsid w:val="00532ACA"/>
    <w:rsid w:val="005341C8"/>
    <w:rsid w:val="00536711"/>
    <w:rsid w:val="00536A3B"/>
    <w:rsid w:val="00537FD8"/>
    <w:rsid w:val="00541CCA"/>
    <w:rsid w:val="00541CE0"/>
    <w:rsid w:val="005439DF"/>
    <w:rsid w:val="00543E04"/>
    <w:rsid w:val="00545594"/>
    <w:rsid w:val="00551A00"/>
    <w:rsid w:val="00552C27"/>
    <w:rsid w:val="005536DB"/>
    <w:rsid w:val="00554D2D"/>
    <w:rsid w:val="00554E60"/>
    <w:rsid w:val="005572D7"/>
    <w:rsid w:val="00557A65"/>
    <w:rsid w:val="00557C55"/>
    <w:rsid w:val="00560B40"/>
    <w:rsid w:val="00561786"/>
    <w:rsid w:val="00562D9F"/>
    <w:rsid w:val="00563092"/>
    <w:rsid w:val="00563108"/>
    <w:rsid w:val="00567A1B"/>
    <w:rsid w:val="0057344D"/>
    <w:rsid w:val="005745D3"/>
    <w:rsid w:val="005756B9"/>
    <w:rsid w:val="005778FA"/>
    <w:rsid w:val="00580D94"/>
    <w:rsid w:val="00582BF7"/>
    <w:rsid w:val="00583DE8"/>
    <w:rsid w:val="00586E06"/>
    <w:rsid w:val="00587024"/>
    <w:rsid w:val="00590D81"/>
    <w:rsid w:val="00591FA8"/>
    <w:rsid w:val="00593ABA"/>
    <w:rsid w:val="005941CA"/>
    <w:rsid w:val="00596ADE"/>
    <w:rsid w:val="00597680"/>
    <w:rsid w:val="005A10B1"/>
    <w:rsid w:val="005A7311"/>
    <w:rsid w:val="005A7EFE"/>
    <w:rsid w:val="005B335D"/>
    <w:rsid w:val="005B40EB"/>
    <w:rsid w:val="005B4AD3"/>
    <w:rsid w:val="005B6BF7"/>
    <w:rsid w:val="005B73E2"/>
    <w:rsid w:val="005C3277"/>
    <w:rsid w:val="005C537F"/>
    <w:rsid w:val="005C53B3"/>
    <w:rsid w:val="005C6968"/>
    <w:rsid w:val="005C79D7"/>
    <w:rsid w:val="005C7AFC"/>
    <w:rsid w:val="005D0418"/>
    <w:rsid w:val="005D13E1"/>
    <w:rsid w:val="005D1D45"/>
    <w:rsid w:val="005D25DE"/>
    <w:rsid w:val="005D31F7"/>
    <w:rsid w:val="005D48DA"/>
    <w:rsid w:val="005D5204"/>
    <w:rsid w:val="005D5AF0"/>
    <w:rsid w:val="005D5D91"/>
    <w:rsid w:val="005E19B2"/>
    <w:rsid w:val="005E3DCF"/>
    <w:rsid w:val="005E44A1"/>
    <w:rsid w:val="005E47F8"/>
    <w:rsid w:val="005E5147"/>
    <w:rsid w:val="005E5D27"/>
    <w:rsid w:val="005F111F"/>
    <w:rsid w:val="005F2329"/>
    <w:rsid w:val="005F2676"/>
    <w:rsid w:val="005F2E51"/>
    <w:rsid w:val="005F33AD"/>
    <w:rsid w:val="005F4792"/>
    <w:rsid w:val="005F4974"/>
    <w:rsid w:val="005F4A60"/>
    <w:rsid w:val="005F7145"/>
    <w:rsid w:val="00602145"/>
    <w:rsid w:val="00602376"/>
    <w:rsid w:val="0060351C"/>
    <w:rsid w:val="006056D1"/>
    <w:rsid w:val="00606BC1"/>
    <w:rsid w:val="00606CC0"/>
    <w:rsid w:val="00607F41"/>
    <w:rsid w:val="00610F4C"/>
    <w:rsid w:val="00613D78"/>
    <w:rsid w:val="00614AB4"/>
    <w:rsid w:val="0061622B"/>
    <w:rsid w:val="00616429"/>
    <w:rsid w:val="00617B02"/>
    <w:rsid w:val="006202C0"/>
    <w:rsid w:val="006205BE"/>
    <w:rsid w:val="00620ACB"/>
    <w:rsid w:val="00620F4E"/>
    <w:rsid w:val="00621148"/>
    <w:rsid w:val="00621155"/>
    <w:rsid w:val="00621DAA"/>
    <w:rsid w:val="0062575E"/>
    <w:rsid w:val="00625E0A"/>
    <w:rsid w:val="0062605D"/>
    <w:rsid w:val="00626B58"/>
    <w:rsid w:val="00630359"/>
    <w:rsid w:val="00630F13"/>
    <w:rsid w:val="00631D9F"/>
    <w:rsid w:val="00631DB5"/>
    <w:rsid w:val="00631E38"/>
    <w:rsid w:val="00632BEA"/>
    <w:rsid w:val="00632EB4"/>
    <w:rsid w:val="00633E66"/>
    <w:rsid w:val="0063415E"/>
    <w:rsid w:val="00634DFF"/>
    <w:rsid w:val="006404F3"/>
    <w:rsid w:val="006405B6"/>
    <w:rsid w:val="00640E25"/>
    <w:rsid w:val="00641F37"/>
    <w:rsid w:val="00642AF1"/>
    <w:rsid w:val="00643AEE"/>
    <w:rsid w:val="00643D4C"/>
    <w:rsid w:val="006443FF"/>
    <w:rsid w:val="00646E73"/>
    <w:rsid w:val="00650479"/>
    <w:rsid w:val="006506F8"/>
    <w:rsid w:val="00650F5B"/>
    <w:rsid w:val="006519A2"/>
    <w:rsid w:val="00652BE5"/>
    <w:rsid w:val="00655D12"/>
    <w:rsid w:val="00656887"/>
    <w:rsid w:val="006569CD"/>
    <w:rsid w:val="00660493"/>
    <w:rsid w:val="00661833"/>
    <w:rsid w:val="00662352"/>
    <w:rsid w:val="00662FF4"/>
    <w:rsid w:val="00664049"/>
    <w:rsid w:val="0066457B"/>
    <w:rsid w:val="00664647"/>
    <w:rsid w:val="006661AB"/>
    <w:rsid w:val="00666439"/>
    <w:rsid w:val="006667C2"/>
    <w:rsid w:val="0066729B"/>
    <w:rsid w:val="00675E84"/>
    <w:rsid w:val="00675F77"/>
    <w:rsid w:val="0067778C"/>
    <w:rsid w:val="00681E91"/>
    <w:rsid w:val="00682671"/>
    <w:rsid w:val="0068481A"/>
    <w:rsid w:val="006851C2"/>
    <w:rsid w:val="00686DAB"/>
    <w:rsid w:val="00690101"/>
    <w:rsid w:val="0069104E"/>
    <w:rsid w:val="0069199D"/>
    <w:rsid w:val="00692442"/>
    <w:rsid w:val="0069318D"/>
    <w:rsid w:val="00693615"/>
    <w:rsid w:val="00693F2D"/>
    <w:rsid w:val="006940D4"/>
    <w:rsid w:val="0069547B"/>
    <w:rsid w:val="0069630A"/>
    <w:rsid w:val="006A02DD"/>
    <w:rsid w:val="006A0B0B"/>
    <w:rsid w:val="006A1FA4"/>
    <w:rsid w:val="006A5EF7"/>
    <w:rsid w:val="006A6EE0"/>
    <w:rsid w:val="006A72E5"/>
    <w:rsid w:val="006B02C1"/>
    <w:rsid w:val="006B0384"/>
    <w:rsid w:val="006B077F"/>
    <w:rsid w:val="006B117F"/>
    <w:rsid w:val="006B118E"/>
    <w:rsid w:val="006B264B"/>
    <w:rsid w:val="006B3A96"/>
    <w:rsid w:val="006B3C37"/>
    <w:rsid w:val="006B6AF9"/>
    <w:rsid w:val="006C12E6"/>
    <w:rsid w:val="006C45AF"/>
    <w:rsid w:val="006C49C9"/>
    <w:rsid w:val="006C5C8F"/>
    <w:rsid w:val="006C6596"/>
    <w:rsid w:val="006C6602"/>
    <w:rsid w:val="006C6FC4"/>
    <w:rsid w:val="006C7CCE"/>
    <w:rsid w:val="006D06D0"/>
    <w:rsid w:val="006D08BF"/>
    <w:rsid w:val="006D212E"/>
    <w:rsid w:val="006D28ED"/>
    <w:rsid w:val="006D3B6D"/>
    <w:rsid w:val="006D42A7"/>
    <w:rsid w:val="006D4D50"/>
    <w:rsid w:val="006D5C8A"/>
    <w:rsid w:val="006D72F7"/>
    <w:rsid w:val="006D7DA5"/>
    <w:rsid w:val="006D7E6A"/>
    <w:rsid w:val="006E3D99"/>
    <w:rsid w:val="006E474C"/>
    <w:rsid w:val="006E5426"/>
    <w:rsid w:val="006E5A8B"/>
    <w:rsid w:val="006E6210"/>
    <w:rsid w:val="006F0197"/>
    <w:rsid w:val="006F144C"/>
    <w:rsid w:val="006F19B4"/>
    <w:rsid w:val="006F65B6"/>
    <w:rsid w:val="006F6B3B"/>
    <w:rsid w:val="00700126"/>
    <w:rsid w:val="007010AA"/>
    <w:rsid w:val="00702486"/>
    <w:rsid w:val="00703DFC"/>
    <w:rsid w:val="007046F3"/>
    <w:rsid w:val="007052C3"/>
    <w:rsid w:val="0070592A"/>
    <w:rsid w:val="0070599D"/>
    <w:rsid w:val="0070653C"/>
    <w:rsid w:val="00707190"/>
    <w:rsid w:val="007077BA"/>
    <w:rsid w:val="00710A58"/>
    <w:rsid w:val="00713934"/>
    <w:rsid w:val="007142A6"/>
    <w:rsid w:val="0071441B"/>
    <w:rsid w:val="00715E7A"/>
    <w:rsid w:val="00716E8C"/>
    <w:rsid w:val="00720283"/>
    <w:rsid w:val="00720A15"/>
    <w:rsid w:val="00721170"/>
    <w:rsid w:val="0072510F"/>
    <w:rsid w:val="00725ED1"/>
    <w:rsid w:val="007278B8"/>
    <w:rsid w:val="007309D3"/>
    <w:rsid w:val="00732321"/>
    <w:rsid w:val="0073363A"/>
    <w:rsid w:val="00733BB9"/>
    <w:rsid w:val="00733F8C"/>
    <w:rsid w:val="007421C8"/>
    <w:rsid w:val="007421FA"/>
    <w:rsid w:val="007431B2"/>
    <w:rsid w:val="007442ED"/>
    <w:rsid w:val="00746AE6"/>
    <w:rsid w:val="00747139"/>
    <w:rsid w:val="0075014A"/>
    <w:rsid w:val="00751BED"/>
    <w:rsid w:val="007522F9"/>
    <w:rsid w:val="0075230D"/>
    <w:rsid w:val="00754541"/>
    <w:rsid w:val="007615D8"/>
    <w:rsid w:val="007647E4"/>
    <w:rsid w:val="00765CCE"/>
    <w:rsid w:val="00766002"/>
    <w:rsid w:val="007666A5"/>
    <w:rsid w:val="00770204"/>
    <w:rsid w:val="007705E3"/>
    <w:rsid w:val="00770645"/>
    <w:rsid w:val="00770C44"/>
    <w:rsid w:val="00771EB0"/>
    <w:rsid w:val="00775969"/>
    <w:rsid w:val="00776BB6"/>
    <w:rsid w:val="00780190"/>
    <w:rsid w:val="00781219"/>
    <w:rsid w:val="00781EFA"/>
    <w:rsid w:val="00783C2E"/>
    <w:rsid w:val="0078438C"/>
    <w:rsid w:val="007849E6"/>
    <w:rsid w:val="00784A24"/>
    <w:rsid w:val="00784C1B"/>
    <w:rsid w:val="00787B20"/>
    <w:rsid w:val="007942B4"/>
    <w:rsid w:val="00795678"/>
    <w:rsid w:val="00796820"/>
    <w:rsid w:val="00796CA4"/>
    <w:rsid w:val="007974CB"/>
    <w:rsid w:val="007A133C"/>
    <w:rsid w:val="007A28AD"/>
    <w:rsid w:val="007A2DEB"/>
    <w:rsid w:val="007A4236"/>
    <w:rsid w:val="007A432B"/>
    <w:rsid w:val="007A5B9B"/>
    <w:rsid w:val="007A5C10"/>
    <w:rsid w:val="007A6E7B"/>
    <w:rsid w:val="007A73B4"/>
    <w:rsid w:val="007A75CE"/>
    <w:rsid w:val="007B16C4"/>
    <w:rsid w:val="007B19CC"/>
    <w:rsid w:val="007B376F"/>
    <w:rsid w:val="007B3FC8"/>
    <w:rsid w:val="007B4631"/>
    <w:rsid w:val="007B6623"/>
    <w:rsid w:val="007B7B33"/>
    <w:rsid w:val="007C13FE"/>
    <w:rsid w:val="007C5CF8"/>
    <w:rsid w:val="007C681E"/>
    <w:rsid w:val="007C68D7"/>
    <w:rsid w:val="007C7246"/>
    <w:rsid w:val="007C7EC8"/>
    <w:rsid w:val="007D2EA0"/>
    <w:rsid w:val="007D33AD"/>
    <w:rsid w:val="007D51C0"/>
    <w:rsid w:val="007E12A2"/>
    <w:rsid w:val="007E1BB4"/>
    <w:rsid w:val="007E3AEC"/>
    <w:rsid w:val="007E4852"/>
    <w:rsid w:val="007E49F5"/>
    <w:rsid w:val="007E4BD6"/>
    <w:rsid w:val="007E558C"/>
    <w:rsid w:val="007E578F"/>
    <w:rsid w:val="007E5ED6"/>
    <w:rsid w:val="007E78DC"/>
    <w:rsid w:val="007F004D"/>
    <w:rsid w:val="007F5943"/>
    <w:rsid w:val="007F6246"/>
    <w:rsid w:val="007F7CBA"/>
    <w:rsid w:val="00800737"/>
    <w:rsid w:val="0080087B"/>
    <w:rsid w:val="008019E9"/>
    <w:rsid w:val="008043F3"/>
    <w:rsid w:val="0080614B"/>
    <w:rsid w:val="00806624"/>
    <w:rsid w:val="008110D5"/>
    <w:rsid w:val="00812962"/>
    <w:rsid w:val="00814E4A"/>
    <w:rsid w:val="00817315"/>
    <w:rsid w:val="00817550"/>
    <w:rsid w:val="0082384C"/>
    <w:rsid w:val="00826459"/>
    <w:rsid w:val="00830626"/>
    <w:rsid w:val="008331F0"/>
    <w:rsid w:val="00833B06"/>
    <w:rsid w:val="00835333"/>
    <w:rsid w:val="00835ED4"/>
    <w:rsid w:val="0083624A"/>
    <w:rsid w:val="008377FE"/>
    <w:rsid w:val="00841C2D"/>
    <w:rsid w:val="00841F3B"/>
    <w:rsid w:val="00852D62"/>
    <w:rsid w:val="00855C99"/>
    <w:rsid w:val="00856027"/>
    <w:rsid w:val="008569B0"/>
    <w:rsid w:val="00857585"/>
    <w:rsid w:val="0085799A"/>
    <w:rsid w:val="00860A9A"/>
    <w:rsid w:val="00861520"/>
    <w:rsid w:val="00863139"/>
    <w:rsid w:val="00867334"/>
    <w:rsid w:val="008713CF"/>
    <w:rsid w:val="0087177E"/>
    <w:rsid w:val="008730C9"/>
    <w:rsid w:val="00873972"/>
    <w:rsid w:val="00875CA8"/>
    <w:rsid w:val="00877C05"/>
    <w:rsid w:val="00880B9E"/>
    <w:rsid w:val="00881E1D"/>
    <w:rsid w:val="00882814"/>
    <w:rsid w:val="00882B57"/>
    <w:rsid w:val="00882BBB"/>
    <w:rsid w:val="00882C72"/>
    <w:rsid w:val="00883828"/>
    <w:rsid w:val="00883BD6"/>
    <w:rsid w:val="00885757"/>
    <w:rsid w:val="00885F1C"/>
    <w:rsid w:val="008871CC"/>
    <w:rsid w:val="00887400"/>
    <w:rsid w:val="008878B0"/>
    <w:rsid w:val="00890AC4"/>
    <w:rsid w:val="00890AD3"/>
    <w:rsid w:val="00890FFD"/>
    <w:rsid w:val="00897534"/>
    <w:rsid w:val="00897DA9"/>
    <w:rsid w:val="008A095F"/>
    <w:rsid w:val="008A1C0B"/>
    <w:rsid w:val="008A263B"/>
    <w:rsid w:val="008A2905"/>
    <w:rsid w:val="008A2AC9"/>
    <w:rsid w:val="008A5C5C"/>
    <w:rsid w:val="008A6D46"/>
    <w:rsid w:val="008B1B31"/>
    <w:rsid w:val="008B33DD"/>
    <w:rsid w:val="008B4BA6"/>
    <w:rsid w:val="008B50AC"/>
    <w:rsid w:val="008B6A07"/>
    <w:rsid w:val="008C2401"/>
    <w:rsid w:val="008C2EE1"/>
    <w:rsid w:val="008C5467"/>
    <w:rsid w:val="008C7D14"/>
    <w:rsid w:val="008D1343"/>
    <w:rsid w:val="008D15FC"/>
    <w:rsid w:val="008D519A"/>
    <w:rsid w:val="008D5569"/>
    <w:rsid w:val="008D7A3E"/>
    <w:rsid w:val="008D7D76"/>
    <w:rsid w:val="008E11DE"/>
    <w:rsid w:val="008E5D9A"/>
    <w:rsid w:val="008E5EEA"/>
    <w:rsid w:val="008E618D"/>
    <w:rsid w:val="008F00BC"/>
    <w:rsid w:val="008F36AA"/>
    <w:rsid w:val="008F39D9"/>
    <w:rsid w:val="008F4BFB"/>
    <w:rsid w:val="008F4F34"/>
    <w:rsid w:val="008F54E2"/>
    <w:rsid w:val="008F60FF"/>
    <w:rsid w:val="008F671A"/>
    <w:rsid w:val="008F69BB"/>
    <w:rsid w:val="008F6DE4"/>
    <w:rsid w:val="008F7017"/>
    <w:rsid w:val="009005D4"/>
    <w:rsid w:val="00900CB3"/>
    <w:rsid w:val="00901D04"/>
    <w:rsid w:val="00902BE7"/>
    <w:rsid w:val="00902F49"/>
    <w:rsid w:val="0090565B"/>
    <w:rsid w:val="00906A14"/>
    <w:rsid w:val="00907187"/>
    <w:rsid w:val="00907707"/>
    <w:rsid w:val="00907A75"/>
    <w:rsid w:val="00907B15"/>
    <w:rsid w:val="009109AF"/>
    <w:rsid w:val="00913E05"/>
    <w:rsid w:val="009160DD"/>
    <w:rsid w:val="009208F0"/>
    <w:rsid w:val="009213E9"/>
    <w:rsid w:val="00921412"/>
    <w:rsid w:val="00921434"/>
    <w:rsid w:val="009219DA"/>
    <w:rsid w:val="009222A3"/>
    <w:rsid w:val="0092257A"/>
    <w:rsid w:val="00924021"/>
    <w:rsid w:val="009257B2"/>
    <w:rsid w:val="00925823"/>
    <w:rsid w:val="00925A4A"/>
    <w:rsid w:val="0093060D"/>
    <w:rsid w:val="00931C98"/>
    <w:rsid w:val="00931D82"/>
    <w:rsid w:val="0093202B"/>
    <w:rsid w:val="00932E14"/>
    <w:rsid w:val="009331E5"/>
    <w:rsid w:val="009337FE"/>
    <w:rsid w:val="0093429D"/>
    <w:rsid w:val="009343CE"/>
    <w:rsid w:val="00935E8F"/>
    <w:rsid w:val="0093612B"/>
    <w:rsid w:val="00936451"/>
    <w:rsid w:val="00937FFC"/>
    <w:rsid w:val="00943382"/>
    <w:rsid w:val="00943C18"/>
    <w:rsid w:val="0094513F"/>
    <w:rsid w:val="00945585"/>
    <w:rsid w:val="009457F8"/>
    <w:rsid w:val="009478E8"/>
    <w:rsid w:val="009505C3"/>
    <w:rsid w:val="00951257"/>
    <w:rsid w:val="00952D52"/>
    <w:rsid w:val="00956CFC"/>
    <w:rsid w:val="00957D3C"/>
    <w:rsid w:val="00960679"/>
    <w:rsid w:val="00960A8D"/>
    <w:rsid w:val="00962106"/>
    <w:rsid w:val="009628EA"/>
    <w:rsid w:val="00962DF2"/>
    <w:rsid w:val="00963522"/>
    <w:rsid w:val="00963AD7"/>
    <w:rsid w:val="00964D86"/>
    <w:rsid w:val="00965DF9"/>
    <w:rsid w:val="00971D95"/>
    <w:rsid w:val="009723A9"/>
    <w:rsid w:val="009732F3"/>
    <w:rsid w:val="0097452A"/>
    <w:rsid w:val="0097517B"/>
    <w:rsid w:val="00975554"/>
    <w:rsid w:val="009763B1"/>
    <w:rsid w:val="00980D81"/>
    <w:rsid w:val="00981DC4"/>
    <w:rsid w:val="0098510A"/>
    <w:rsid w:val="009854A9"/>
    <w:rsid w:val="009855D0"/>
    <w:rsid w:val="009860B1"/>
    <w:rsid w:val="009861FC"/>
    <w:rsid w:val="009866FA"/>
    <w:rsid w:val="00987AEF"/>
    <w:rsid w:val="00990168"/>
    <w:rsid w:val="00990539"/>
    <w:rsid w:val="00994555"/>
    <w:rsid w:val="00995736"/>
    <w:rsid w:val="00995D66"/>
    <w:rsid w:val="00996DA9"/>
    <w:rsid w:val="009A045C"/>
    <w:rsid w:val="009A19ED"/>
    <w:rsid w:val="009A1F1F"/>
    <w:rsid w:val="009A2528"/>
    <w:rsid w:val="009A267E"/>
    <w:rsid w:val="009A44FE"/>
    <w:rsid w:val="009A4921"/>
    <w:rsid w:val="009A5DE8"/>
    <w:rsid w:val="009B077D"/>
    <w:rsid w:val="009B0A9A"/>
    <w:rsid w:val="009B1E57"/>
    <w:rsid w:val="009B3206"/>
    <w:rsid w:val="009B3370"/>
    <w:rsid w:val="009B34EA"/>
    <w:rsid w:val="009B380E"/>
    <w:rsid w:val="009B3D1E"/>
    <w:rsid w:val="009B4465"/>
    <w:rsid w:val="009B6ABF"/>
    <w:rsid w:val="009B6D84"/>
    <w:rsid w:val="009B7746"/>
    <w:rsid w:val="009C0B9A"/>
    <w:rsid w:val="009C11CC"/>
    <w:rsid w:val="009C38EB"/>
    <w:rsid w:val="009C3DF3"/>
    <w:rsid w:val="009C4E58"/>
    <w:rsid w:val="009C75C1"/>
    <w:rsid w:val="009C7BB9"/>
    <w:rsid w:val="009C7FC1"/>
    <w:rsid w:val="009D1A10"/>
    <w:rsid w:val="009D2FEF"/>
    <w:rsid w:val="009D3532"/>
    <w:rsid w:val="009D3D6F"/>
    <w:rsid w:val="009D4D68"/>
    <w:rsid w:val="009D4F70"/>
    <w:rsid w:val="009D59D3"/>
    <w:rsid w:val="009D61C4"/>
    <w:rsid w:val="009D659B"/>
    <w:rsid w:val="009E05B3"/>
    <w:rsid w:val="009E1014"/>
    <w:rsid w:val="009E17D9"/>
    <w:rsid w:val="009E1A7F"/>
    <w:rsid w:val="009E2E7E"/>
    <w:rsid w:val="009E2EAA"/>
    <w:rsid w:val="009E4FEF"/>
    <w:rsid w:val="009E5AC7"/>
    <w:rsid w:val="009E5BDB"/>
    <w:rsid w:val="009E6D7C"/>
    <w:rsid w:val="009E7327"/>
    <w:rsid w:val="009E74BB"/>
    <w:rsid w:val="009E7770"/>
    <w:rsid w:val="009E7A19"/>
    <w:rsid w:val="009F001F"/>
    <w:rsid w:val="009F32C3"/>
    <w:rsid w:val="009F3DD9"/>
    <w:rsid w:val="009F4900"/>
    <w:rsid w:val="009F5879"/>
    <w:rsid w:val="009F5C10"/>
    <w:rsid w:val="009F60B7"/>
    <w:rsid w:val="009F7145"/>
    <w:rsid w:val="009F7DB7"/>
    <w:rsid w:val="00A01216"/>
    <w:rsid w:val="00A01C67"/>
    <w:rsid w:val="00A02018"/>
    <w:rsid w:val="00A07537"/>
    <w:rsid w:val="00A07B48"/>
    <w:rsid w:val="00A07DC5"/>
    <w:rsid w:val="00A111AD"/>
    <w:rsid w:val="00A11640"/>
    <w:rsid w:val="00A13C78"/>
    <w:rsid w:val="00A160B7"/>
    <w:rsid w:val="00A16C6E"/>
    <w:rsid w:val="00A215DA"/>
    <w:rsid w:val="00A216F1"/>
    <w:rsid w:val="00A22842"/>
    <w:rsid w:val="00A23BAC"/>
    <w:rsid w:val="00A24ED0"/>
    <w:rsid w:val="00A25330"/>
    <w:rsid w:val="00A25621"/>
    <w:rsid w:val="00A26D5D"/>
    <w:rsid w:val="00A279BF"/>
    <w:rsid w:val="00A3280F"/>
    <w:rsid w:val="00A34364"/>
    <w:rsid w:val="00A3462A"/>
    <w:rsid w:val="00A350F9"/>
    <w:rsid w:val="00A3669B"/>
    <w:rsid w:val="00A36F0E"/>
    <w:rsid w:val="00A37360"/>
    <w:rsid w:val="00A37772"/>
    <w:rsid w:val="00A40138"/>
    <w:rsid w:val="00A40675"/>
    <w:rsid w:val="00A41680"/>
    <w:rsid w:val="00A41A2D"/>
    <w:rsid w:val="00A41E2D"/>
    <w:rsid w:val="00A46814"/>
    <w:rsid w:val="00A46C5E"/>
    <w:rsid w:val="00A500B3"/>
    <w:rsid w:val="00A50848"/>
    <w:rsid w:val="00A51580"/>
    <w:rsid w:val="00A516EE"/>
    <w:rsid w:val="00A518A9"/>
    <w:rsid w:val="00A525C3"/>
    <w:rsid w:val="00A5317D"/>
    <w:rsid w:val="00A61C65"/>
    <w:rsid w:val="00A61CEA"/>
    <w:rsid w:val="00A63C77"/>
    <w:rsid w:val="00A647F8"/>
    <w:rsid w:val="00A650D8"/>
    <w:rsid w:val="00A660B4"/>
    <w:rsid w:val="00A67E20"/>
    <w:rsid w:val="00A67EEC"/>
    <w:rsid w:val="00A70779"/>
    <w:rsid w:val="00A7077A"/>
    <w:rsid w:val="00A71309"/>
    <w:rsid w:val="00A73219"/>
    <w:rsid w:val="00A74F27"/>
    <w:rsid w:val="00A750DC"/>
    <w:rsid w:val="00A7534B"/>
    <w:rsid w:val="00A76823"/>
    <w:rsid w:val="00A7693C"/>
    <w:rsid w:val="00A76DED"/>
    <w:rsid w:val="00A80165"/>
    <w:rsid w:val="00A81738"/>
    <w:rsid w:val="00A81868"/>
    <w:rsid w:val="00A82061"/>
    <w:rsid w:val="00A826F6"/>
    <w:rsid w:val="00A835EE"/>
    <w:rsid w:val="00A83891"/>
    <w:rsid w:val="00A854CF"/>
    <w:rsid w:val="00A9079D"/>
    <w:rsid w:val="00A94151"/>
    <w:rsid w:val="00A95047"/>
    <w:rsid w:val="00A95CC2"/>
    <w:rsid w:val="00A95FB8"/>
    <w:rsid w:val="00A97E91"/>
    <w:rsid w:val="00AA1966"/>
    <w:rsid w:val="00AA1A3C"/>
    <w:rsid w:val="00AA1B1E"/>
    <w:rsid w:val="00AA2AB2"/>
    <w:rsid w:val="00AA5411"/>
    <w:rsid w:val="00AA7560"/>
    <w:rsid w:val="00AA7A3D"/>
    <w:rsid w:val="00AB0157"/>
    <w:rsid w:val="00AB07DE"/>
    <w:rsid w:val="00AB27CC"/>
    <w:rsid w:val="00AB4110"/>
    <w:rsid w:val="00AB640F"/>
    <w:rsid w:val="00AB75A1"/>
    <w:rsid w:val="00AB7BEE"/>
    <w:rsid w:val="00AC2C1A"/>
    <w:rsid w:val="00AC57CB"/>
    <w:rsid w:val="00AC76A5"/>
    <w:rsid w:val="00AC7C1E"/>
    <w:rsid w:val="00AD08E6"/>
    <w:rsid w:val="00AD332A"/>
    <w:rsid w:val="00AD4031"/>
    <w:rsid w:val="00AD59B5"/>
    <w:rsid w:val="00AD5EC5"/>
    <w:rsid w:val="00AD7421"/>
    <w:rsid w:val="00AD7BF1"/>
    <w:rsid w:val="00AE0AF5"/>
    <w:rsid w:val="00AE4A62"/>
    <w:rsid w:val="00AE6130"/>
    <w:rsid w:val="00AE701B"/>
    <w:rsid w:val="00AE7D58"/>
    <w:rsid w:val="00AF0515"/>
    <w:rsid w:val="00AF0E8C"/>
    <w:rsid w:val="00AF184C"/>
    <w:rsid w:val="00AF5BDE"/>
    <w:rsid w:val="00AF7741"/>
    <w:rsid w:val="00B0138B"/>
    <w:rsid w:val="00B01B6B"/>
    <w:rsid w:val="00B020B8"/>
    <w:rsid w:val="00B020F0"/>
    <w:rsid w:val="00B02350"/>
    <w:rsid w:val="00B04AAF"/>
    <w:rsid w:val="00B04CEF"/>
    <w:rsid w:val="00B06B1D"/>
    <w:rsid w:val="00B079BE"/>
    <w:rsid w:val="00B14171"/>
    <w:rsid w:val="00B147EC"/>
    <w:rsid w:val="00B176DD"/>
    <w:rsid w:val="00B20423"/>
    <w:rsid w:val="00B23DA9"/>
    <w:rsid w:val="00B25704"/>
    <w:rsid w:val="00B2736E"/>
    <w:rsid w:val="00B27D69"/>
    <w:rsid w:val="00B33BFE"/>
    <w:rsid w:val="00B33EB0"/>
    <w:rsid w:val="00B362ED"/>
    <w:rsid w:val="00B36B6E"/>
    <w:rsid w:val="00B36B7E"/>
    <w:rsid w:val="00B378AF"/>
    <w:rsid w:val="00B41CB3"/>
    <w:rsid w:val="00B421C7"/>
    <w:rsid w:val="00B43230"/>
    <w:rsid w:val="00B4412E"/>
    <w:rsid w:val="00B4467E"/>
    <w:rsid w:val="00B44770"/>
    <w:rsid w:val="00B44E51"/>
    <w:rsid w:val="00B458C0"/>
    <w:rsid w:val="00B46924"/>
    <w:rsid w:val="00B47ED7"/>
    <w:rsid w:val="00B52BB3"/>
    <w:rsid w:val="00B5343B"/>
    <w:rsid w:val="00B539D7"/>
    <w:rsid w:val="00B56723"/>
    <w:rsid w:val="00B576EF"/>
    <w:rsid w:val="00B61D08"/>
    <w:rsid w:val="00B62F09"/>
    <w:rsid w:val="00B631EA"/>
    <w:rsid w:val="00B63A70"/>
    <w:rsid w:val="00B64371"/>
    <w:rsid w:val="00B6527F"/>
    <w:rsid w:val="00B65FB9"/>
    <w:rsid w:val="00B66CC6"/>
    <w:rsid w:val="00B71B75"/>
    <w:rsid w:val="00B71E77"/>
    <w:rsid w:val="00B74B6A"/>
    <w:rsid w:val="00B74E51"/>
    <w:rsid w:val="00B75014"/>
    <w:rsid w:val="00B75953"/>
    <w:rsid w:val="00B76D8D"/>
    <w:rsid w:val="00B77528"/>
    <w:rsid w:val="00B81A82"/>
    <w:rsid w:val="00B83104"/>
    <w:rsid w:val="00B83776"/>
    <w:rsid w:val="00B8669C"/>
    <w:rsid w:val="00B9112F"/>
    <w:rsid w:val="00B920D0"/>
    <w:rsid w:val="00B933C5"/>
    <w:rsid w:val="00B93AAB"/>
    <w:rsid w:val="00B93C7F"/>
    <w:rsid w:val="00B94955"/>
    <w:rsid w:val="00B9595B"/>
    <w:rsid w:val="00B969DE"/>
    <w:rsid w:val="00B96C07"/>
    <w:rsid w:val="00B96C6A"/>
    <w:rsid w:val="00B9716C"/>
    <w:rsid w:val="00B9731C"/>
    <w:rsid w:val="00B9756D"/>
    <w:rsid w:val="00BA0961"/>
    <w:rsid w:val="00BA14D5"/>
    <w:rsid w:val="00BA24A6"/>
    <w:rsid w:val="00BA3A56"/>
    <w:rsid w:val="00BA4F73"/>
    <w:rsid w:val="00BA5CF7"/>
    <w:rsid w:val="00BA657E"/>
    <w:rsid w:val="00BB0C96"/>
    <w:rsid w:val="00BB14B6"/>
    <w:rsid w:val="00BB21DD"/>
    <w:rsid w:val="00BB2EDB"/>
    <w:rsid w:val="00BB5927"/>
    <w:rsid w:val="00BB66C5"/>
    <w:rsid w:val="00BC0C2F"/>
    <w:rsid w:val="00BC19AE"/>
    <w:rsid w:val="00BC4B5E"/>
    <w:rsid w:val="00BC6C0D"/>
    <w:rsid w:val="00BC73AA"/>
    <w:rsid w:val="00BC7B65"/>
    <w:rsid w:val="00BD02AA"/>
    <w:rsid w:val="00BD0D46"/>
    <w:rsid w:val="00BD1A4C"/>
    <w:rsid w:val="00BD25B7"/>
    <w:rsid w:val="00BD2AC2"/>
    <w:rsid w:val="00BD3100"/>
    <w:rsid w:val="00BD449E"/>
    <w:rsid w:val="00BD4BD6"/>
    <w:rsid w:val="00BD5F0A"/>
    <w:rsid w:val="00BD6AA9"/>
    <w:rsid w:val="00BD6CAD"/>
    <w:rsid w:val="00BD7D67"/>
    <w:rsid w:val="00BE00FA"/>
    <w:rsid w:val="00BE06AD"/>
    <w:rsid w:val="00BE0D6C"/>
    <w:rsid w:val="00BE455C"/>
    <w:rsid w:val="00BE5BD8"/>
    <w:rsid w:val="00BE5D5C"/>
    <w:rsid w:val="00BE75C4"/>
    <w:rsid w:val="00BF158F"/>
    <w:rsid w:val="00BF47B4"/>
    <w:rsid w:val="00BF6A63"/>
    <w:rsid w:val="00BF7D65"/>
    <w:rsid w:val="00BF7F21"/>
    <w:rsid w:val="00C00B2D"/>
    <w:rsid w:val="00C01E5F"/>
    <w:rsid w:val="00C02D91"/>
    <w:rsid w:val="00C02F3C"/>
    <w:rsid w:val="00C037EF"/>
    <w:rsid w:val="00C039DA"/>
    <w:rsid w:val="00C06175"/>
    <w:rsid w:val="00C06BAC"/>
    <w:rsid w:val="00C0768E"/>
    <w:rsid w:val="00C12A75"/>
    <w:rsid w:val="00C13046"/>
    <w:rsid w:val="00C136D8"/>
    <w:rsid w:val="00C144FD"/>
    <w:rsid w:val="00C16EF2"/>
    <w:rsid w:val="00C17A84"/>
    <w:rsid w:val="00C17C43"/>
    <w:rsid w:val="00C20203"/>
    <w:rsid w:val="00C20256"/>
    <w:rsid w:val="00C21867"/>
    <w:rsid w:val="00C24333"/>
    <w:rsid w:val="00C24567"/>
    <w:rsid w:val="00C24AD2"/>
    <w:rsid w:val="00C24DA0"/>
    <w:rsid w:val="00C252D5"/>
    <w:rsid w:val="00C254EC"/>
    <w:rsid w:val="00C26F82"/>
    <w:rsid w:val="00C27882"/>
    <w:rsid w:val="00C30C59"/>
    <w:rsid w:val="00C30F04"/>
    <w:rsid w:val="00C31EA9"/>
    <w:rsid w:val="00C32EE1"/>
    <w:rsid w:val="00C33A26"/>
    <w:rsid w:val="00C34F4E"/>
    <w:rsid w:val="00C353FC"/>
    <w:rsid w:val="00C35804"/>
    <w:rsid w:val="00C368EB"/>
    <w:rsid w:val="00C4125B"/>
    <w:rsid w:val="00C44694"/>
    <w:rsid w:val="00C547A9"/>
    <w:rsid w:val="00C55089"/>
    <w:rsid w:val="00C575F7"/>
    <w:rsid w:val="00C608C9"/>
    <w:rsid w:val="00C61ACE"/>
    <w:rsid w:val="00C639E9"/>
    <w:rsid w:val="00C64B16"/>
    <w:rsid w:val="00C70685"/>
    <w:rsid w:val="00C7172D"/>
    <w:rsid w:val="00C71F8F"/>
    <w:rsid w:val="00C7265A"/>
    <w:rsid w:val="00C72AAC"/>
    <w:rsid w:val="00C73CD6"/>
    <w:rsid w:val="00C740F5"/>
    <w:rsid w:val="00C746CB"/>
    <w:rsid w:val="00C74ADC"/>
    <w:rsid w:val="00C76212"/>
    <w:rsid w:val="00C76ABD"/>
    <w:rsid w:val="00C773D1"/>
    <w:rsid w:val="00C80ED4"/>
    <w:rsid w:val="00C8136F"/>
    <w:rsid w:val="00C816D6"/>
    <w:rsid w:val="00C81B59"/>
    <w:rsid w:val="00C83A64"/>
    <w:rsid w:val="00C83B04"/>
    <w:rsid w:val="00C85E8F"/>
    <w:rsid w:val="00C85F12"/>
    <w:rsid w:val="00C9079C"/>
    <w:rsid w:val="00C91DA0"/>
    <w:rsid w:val="00C951FB"/>
    <w:rsid w:val="00C95A6F"/>
    <w:rsid w:val="00C96BDF"/>
    <w:rsid w:val="00C96C93"/>
    <w:rsid w:val="00C97AC5"/>
    <w:rsid w:val="00CA1C25"/>
    <w:rsid w:val="00CA2DD3"/>
    <w:rsid w:val="00CA499A"/>
    <w:rsid w:val="00CA4B8D"/>
    <w:rsid w:val="00CA4EC6"/>
    <w:rsid w:val="00CA5927"/>
    <w:rsid w:val="00CB2E37"/>
    <w:rsid w:val="00CB3329"/>
    <w:rsid w:val="00CB5599"/>
    <w:rsid w:val="00CB5E96"/>
    <w:rsid w:val="00CB6D3D"/>
    <w:rsid w:val="00CB7262"/>
    <w:rsid w:val="00CB779B"/>
    <w:rsid w:val="00CC3027"/>
    <w:rsid w:val="00CC6398"/>
    <w:rsid w:val="00CD0F7C"/>
    <w:rsid w:val="00CD1218"/>
    <w:rsid w:val="00CD3440"/>
    <w:rsid w:val="00CD42A7"/>
    <w:rsid w:val="00CD4893"/>
    <w:rsid w:val="00CE00C6"/>
    <w:rsid w:val="00CE0761"/>
    <w:rsid w:val="00CE0F85"/>
    <w:rsid w:val="00CE3B73"/>
    <w:rsid w:val="00CE57ED"/>
    <w:rsid w:val="00CE58DE"/>
    <w:rsid w:val="00CE6E31"/>
    <w:rsid w:val="00CE717A"/>
    <w:rsid w:val="00CE7B8B"/>
    <w:rsid w:val="00CE7D20"/>
    <w:rsid w:val="00CF025C"/>
    <w:rsid w:val="00CF0DC6"/>
    <w:rsid w:val="00CF2484"/>
    <w:rsid w:val="00CF2F0D"/>
    <w:rsid w:val="00CF4B48"/>
    <w:rsid w:val="00CF7220"/>
    <w:rsid w:val="00D012C7"/>
    <w:rsid w:val="00D029CB"/>
    <w:rsid w:val="00D03808"/>
    <w:rsid w:val="00D03DF9"/>
    <w:rsid w:val="00D0519E"/>
    <w:rsid w:val="00D054F2"/>
    <w:rsid w:val="00D05B51"/>
    <w:rsid w:val="00D06491"/>
    <w:rsid w:val="00D06EEA"/>
    <w:rsid w:val="00D07F51"/>
    <w:rsid w:val="00D1189A"/>
    <w:rsid w:val="00D118AE"/>
    <w:rsid w:val="00D11FDB"/>
    <w:rsid w:val="00D12CA1"/>
    <w:rsid w:val="00D14A6A"/>
    <w:rsid w:val="00D15DF4"/>
    <w:rsid w:val="00D16380"/>
    <w:rsid w:val="00D171FE"/>
    <w:rsid w:val="00D1763E"/>
    <w:rsid w:val="00D17723"/>
    <w:rsid w:val="00D17DB5"/>
    <w:rsid w:val="00D214D6"/>
    <w:rsid w:val="00D2162E"/>
    <w:rsid w:val="00D23D77"/>
    <w:rsid w:val="00D23F45"/>
    <w:rsid w:val="00D23F95"/>
    <w:rsid w:val="00D249EF"/>
    <w:rsid w:val="00D30676"/>
    <w:rsid w:val="00D310D6"/>
    <w:rsid w:val="00D31859"/>
    <w:rsid w:val="00D34746"/>
    <w:rsid w:val="00D35377"/>
    <w:rsid w:val="00D37EB3"/>
    <w:rsid w:val="00D41457"/>
    <w:rsid w:val="00D415A3"/>
    <w:rsid w:val="00D43BAF"/>
    <w:rsid w:val="00D4426B"/>
    <w:rsid w:val="00D44972"/>
    <w:rsid w:val="00D45576"/>
    <w:rsid w:val="00D46302"/>
    <w:rsid w:val="00D46A8D"/>
    <w:rsid w:val="00D46E0D"/>
    <w:rsid w:val="00D5164E"/>
    <w:rsid w:val="00D517D1"/>
    <w:rsid w:val="00D528FF"/>
    <w:rsid w:val="00D530EF"/>
    <w:rsid w:val="00D55710"/>
    <w:rsid w:val="00D55C01"/>
    <w:rsid w:val="00D6044C"/>
    <w:rsid w:val="00D62888"/>
    <w:rsid w:val="00D62AC1"/>
    <w:rsid w:val="00D62ED4"/>
    <w:rsid w:val="00D6335A"/>
    <w:rsid w:val="00D64D97"/>
    <w:rsid w:val="00D710B8"/>
    <w:rsid w:val="00D71EE4"/>
    <w:rsid w:val="00D72A5E"/>
    <w:rsid w:val="00D75334"/>
    <w:rsid w:val="00D77F94"/>
    <w:rsid w:val="00D807E9"/>
    <w:rsid w:val="00D82D5E"/>
    <w:rsid w:val="00D84433"/>
    <w:rsid w:val="00D8725F"/>
    <w:rsid w:val="00D87357"/>
    <w:rsid w:val="00D91679"/>
    <w:rsid w:val="00D91846"/>
    <w:rsid w:val="00D92DE8"/>
    <w:rsid w:val="00D9394A"/>
    <w:rsid w:val="00D949A4"/>
    <w:rsid w:val="00DA0743"/>
    <w:rsid w:val="00DA1FB0"/>
    <w:rsid w:val="00DA365B"/>
    <w:rsid w:val="00DA3A7B"/>
    <w:rsid w:val="00DA5273"/>
    <w:rsid w:val="00DA6E0F"/>
    <w:rsid w:val="00DA76D5"/>
    <w:rsid w:val="00DB1A7F"/>
    <w:rsid w:val="00DB4EF2"/>
    <w:rsid w:val="00DB533A"/>
    <w:rsid w:val="00DC0305"/>
    <w:rsid w:val="00DC0E5E"/>
    <w:rsid w:val="00DC1A81"/>
    <w:rsid w:val="00DC6094"/>
    <w:rsid w:val="00DC6843"/>
    <w:rsid w:val="00DC7C15"/>
    <w:rsid w:val="00DC7CDE"/>
    <w:rsid w:val="00DC7E6E"/>
    <w:rsid w:val="00DD1960"/>
    <w:rsid w:val="00DD2074"/>
    <w:rsid w:val="00DD34CB"/>
    <w:rsid w:val="00DD41D4"/>
    <w:rsid w:val="00DD4C92"/>
    <w:rsid w:val="00DD6E1B"/>
    <w:rsid w:val="00DE0A8F"/>
    <w:rsid w:val="00DE132E"/>
    <w:rsid w:val="00DE198C"/>
    <w:rsid w:val="00DE25D8"/>
    <w:rsid w:val="00DE331F"/>
    <w:rsid w:val="00DE3C98"/>
    <w:rsid w:val="00DE5349"/>
    <w:rsid w:val="00DE76AB"/>
    <w:rsid w:val="00DF1BD3"/>
    <w:rsid w:val="00DF24E0"/>
    <w:rsid w:val="00DF36EC"/>
    <w:rsid w:val="00DF4C03"/>
    <w:rsid w:val="00DF5206"/>
    <w:rsid w:val="00DF5C1B"/>
    <w:rsid w:val="00DF63F4"/>
    <w:rsid w:val="00DF7874"/>
    <w:rsid w:val="00DF7912"/>
    <w:rsid w:val="00E00FC3"/>
    <w:rsid w:val="00E02537"/>
    <w:rsid w:val="00E02A10"/>
    <w:rsid w:val="00E02A65"/>
    <w:rsid w:val="00E02F43"/>
    <w:rsid w:val="00E04106"/>
    <w:rsid w:val="00E04298"/>
    <w:rsid w:val="00E1039D"/>
    <w:rsid w:val="00E11C17"/>
    <w:rsid w:val="00E11C5A"/>
    <w:rsid w:val="00E120AD"/>
    <w:rsid w:val="00E12FB0"/>
    <w:rsid w:val="00E14FA8"/>
    <w:rsid w:val="00E15EE0"/>
    <w:rsid w:val="00E162CC"/>
    <w:rsid w:val="00E214DD"/>
    <w:rsid w:val="00E215ED"/>
    <w:rsid w:val="00E23BD5"/>
    <w:rsid w:val="00E23D62"/>
    <w:rsid w:val="00E24DAC"/>
    <w:rsid w:val="00E2537D"/>
    <w:rsid w:val="00E279ED"/>
    <w:rsid w:val="00E30844"/>
    <w:rsid w:val="00E31078"/>
    <w:rsid w:val="00E31951"/>
    <w:rsid w:val="00E3299C"/>
    <w:rsid w:val="00E338C0"/>
    <w:rsid w:val="00E34A76"/>
    <w:rsid w:val="00E36149"/>
    <w:rsid w:val="00E372C8"/>
    <w:rsid w:val="00E37BE1"/>
    <w:rsid w:val="00E37CEC"/>
    <w:rsid w:val="00E4063E"/>
    <w:rsid w:val="00E40646"/>
    <w:rsid w:val="00E40BC3"/>
    <w:rsid w:val="00E41CC1"/>
    <w:rsid w:val="00E45C4C"/>
    <w:rsid w:val="00E468F2"/>
    <w:rsid w:val="00E50737"/>
    <w:rsid w:val="00E51A0A"/>
    <w:rsid w:val="00E5216C"/>
    <w:rsid w:val="00E545CB"/>
    <w:rsid w:val="00E55B8B"/>
    <w:rsid w:val="00E619ED"/>
    <w:rsid w:val="00E638C5"/>
    <w:rsid w:val="00E65FC3"/>
    <w:rsid w:val="00E67461"/>
    <w:rsid w:val="00E67865"/>
    <w:rsid w:val="00E67D74"/>
    <w:rsid w:val="00E707E9"/>
    <w:rsid w:val="00E70862"/>
    <w:rsid w:val="00E71831"/>
    <w:rsid w:val="00E72AA0"/>
    <w:rsid w:val="00E7343C"/>
    <w:rsid w:val="00E76A39"/>
    <w:rsid w:val="00E7783B"/>
    <w:rsid w:val="00E77BB6"/>
    <w:rsid w:val="00E804D3"/>
    <w:rsid w:val="00E80DA3"/>
    <w:rsid w:val="00E81AF9"/>
    <w:rsid w:val="00E820B8"/>
    <w:rsid w:val="00E82EB6"/>
    <w:rsid w:val="00E845F3"/>
    <w:rsid w:val="00E8488F"/>
    <w:rsid w:val="00E860CB"/>
    <w:rsid w:val="00E860E4"/>
    <w:rsid w:val="00E86A85"/>
    <w:rsid w:val="00E86C3E"/>
    <w:rsid w:val="00E87068"/>
    <w:rsid w:val="00E875F7"/>
    <w:rsid w:val="00E92A50"/>
    <w:rsid w:val="00EA0355"/>
    <w:rsid w:val="00EA0FEE"/>
    <w:rsid w:val="00EA22E1"/>
    <w:rsid w:val="00EA2300"/>
    <w:rsid w:val="00EA256A"/>
    <w:rsid w:val="00EA3066"/>
    <w:rsid w:val="00EA3C52"/>
    <w:rsid w:val="00EA559F"/>
    <w:rsid w:val="00EA596A"/>
    <w:rsid w:val="00EA654E"/>
    <w:rsid w:val="00EB3088"/>
    <w:rsid w:val="00EB3A5B"/>
    <w:rsid w:val="00EB3AF9"/>
    <w:rsid w:val="00EB43CB"/>
    <w:rsid w:val="00EB452F"/>
    <w:rsid w:val="00EB53A0"/>
    <w:rsid w:val="00EB6AFB"/>
    <w:rsid w:val="00EB6CDA"/>
    <w:rsid w:val="00EB73BF"/>
    <w:rsid w:val="00EC0835"/>
    <w:rsid w:val="00EC109E"/>
    <w:rsid w:val="00EC1180"/>
    <w:rsid w:val="00EC3F9E"/>
    <w:rsid w:val="00EC57B2"/>
    <w:rsid w:val="00EC5801"/>
    <w:rsid w:val="00EC6892"/>
    <w:rsid w:val="00EC6989"/>
    <w:rsid w:val="00EC72C8"/>
    <w:rsid w:val="00EC78A2"/>
    <w:rsid w:val="00ED1308"/>
    <w:rsid w:val="00ED1593"/>
    <w:rsid w:val="00ED2A85"/>
    <w:rsid w:val="00ED2C3C"/>
    <w:rsid w:val="00ED2E7D"/>
    <w:rsid w:val="00ED2EB7"/>
    <w:rsid w:val="00ED3AE0"/>
    <w:rsid w:val="00ED42B3"/>
    <w:rsid w:val="00ED5485"/>
    <w:rsid w:val="00EE561B"/>
    <w:rsid w:val="00EE79B7"/>
    <w:rsid w:val="00EF1061"/>
    <w:rsid w:val="00EF2827"/>
    <w:rsid w:val="00EF2E9A"/>
    <w:rsid w:val="00EF3A5D"/>
    <w:rsid w:val="00EF4664"/>
    <w:rsid w:val="00EF5BB8"/>
    <w:rsid w:val="00EF6866"/>
    <w:rsid w:val="00EF7C31"/>
    <w:rsid w:val="00F002C9"/>
    <w:rsid w:val="00F003A5"/>
    <w:rsid w:val="00F018AF"/>
    <w:rsid w:val="00F02ECA"/>
    <w:rsid w:val="00F039A5"/>
    <w:rsid w:val="00F0426C"/>
    <w:rsid w:val="00F06156"/>
    <w:rsid w:val="00F075F5"/>
    <w:rsid w:val="00F102D6"/>
    <w:rsid w:val="00F105FE"/>
    <w:rsid w:val="00F10DF1"/>
    <w:rsid w:val="00F10F60"/>
    <w:rsid w:val="00F1119E"/>
    <w:rsid w:val="00F12ADD"/>
    <w:rsid w:val="00F13DEF"/>
    <w:rsid w:val="00F14703"/>
    <w:rsid w:val="00F15399"/>
    <w:rsid w:val="00F16EBD"/>
    <w:rsid w:val="00F20EFA"/>
    <w:rsid w:val="00F21F46"/>
    <w:rsid w:val="00F250F6"/>
    <w:rsid w:val="00F255C1"/>
    <w:rsid w:val="00F257EC"/>
    <w:rsid w:val="00F26808"/>
    <w:rsid w:val="00F2698A"/>
    <w:rsid w:val="00F26F6B"/>
    <w:rsid w:val="00F30129"/>
    <w:rsid w:val="00F31C7B"/>
    <w:rsid w:val="00F3584E"/>
    <w:rsid w:val="00F37303"/>
    <w:rsid w:val="00F40C7D"/>
    <w:rsid w:val="00F41138"/>
    <w:rsid w:val="00F41D4E"/>
    <w:rsid w:val="00F420E8"/>
    <w:rsid w:val="00F42720"/>
    <w:rsid w:val="00F42FB0"/>
    <w:rsid w:val="00F430B8"/>
    <w:rsid w:val="00F44652"/>
    <w:rsid w:val="00F45F9C"/>
    <w:rsid w:val="00F462FB"/>
    <w:rsid w:val="00F4688A"/>
    <w:rsid w:val="00F471FA"/>
    <w:rsid w:val="00F47970"/>
    <w:rsid w:val="00F50E11"/>
    <w:rsid w:val="00F51492"/>
    <w:rsid w:val="00F51D3F"/>
    <w:rsid w:val="00F55472"/>
    <w:rsid w:val="00F57B74"/>
    <w:rsid w:val="00F57F6B"/>
    <w:rsid w:val="00F61323"/>
    <w:rsid w:val="00F62A5A"/>
    <w:rsid w:val="00F63B1A"/>
    <w:rsid w:val="00F65B30"/>
    <w:rsid w:val="00F66BE6"/>
    <w:rsid w:val="00F70677"/>
    <w:rsid w:val="00F72612"/>
    <w:rsid w:val="00F73E99"/>
    <w:rsid w:val="00F74E3B"/>
    <w:rsid w:val="00F765B7"/>
    <w:rsid w:val="00F76E41"/>
    <w:rsid w:val="00F77283"/>
    <w:rsid w:val="00F807E3"/>
    <w:rsid w:val="00F83604"/>
    <w:rsid w:val="00F85104"/>
    <w:rsid w:val="00F8585A"/>
    <w:rsid w:val="00F86597"/>
    <w:rsid w:val="00F90546"/>
    <w:rsid w:val="00F906B1"/>
    <w:rsid w:val="00F90A11"/>
    <w:rsid w:val="00F90E4B"/>
    <w:rsid w:val="00F92381"/>
    <w:rsid w:val="00F92751"/>
    <w:rsid w:val="00F94904"/>
    <w:rsid w:val="00F94B0C"/>
    <w:rsid w:val="00F951DE"/>
    <w:rsid w:val="00FA127B"/>
    <w:rsid w:val="00FA448F"/>
    <w:rsid w:val="00FA5A1B"/>
    <w:rsid w:val="00FA76D4"/>
    <w:rsid w:val="00FA786F"/>
    <w:rsid w:val="00FA79EC"/>
    <w:rsid w:val="00FB03F5"/>
    <w:rsid w:val="00FB1B91"/>
    <w:rsid w:val="00FB265F"/>
    <w:rsid w:val="00FB3645"/>
    <w:rsid w:val="00FB3B05"/>
    <w:rsid w:val="00FB4678"/>
    <w:rsid w:val="00FB4C32"/>
    <w:rsid w:val="00FB5188"/>
    <w:rsid w:val="00FB5A3A"/>
    <w:rsid w:val="00FB5B8C"/>
    <w:rsid w:val="00FB71D2"/>
    <w:rsid w:val="00FB7BC3"/>
    <w:rsid w:val="00FC10AD"/>
    <w:rsid w:val="00FC1311"/>
    <w:rsid w:val="00FC1914"/>
    <w:rsid w:val="00FC30C0"/>
    <w:rsid w:val="00FC33F3"/>
    <w:rsid w:val="00FC3EC9"/>
    <w:rsid w:val="00FC5866"/>
    <w:rsid w:val="00FC718A"/>
    <w:rsid w:val="00FC72D0"/>
    <w:rsid w:val="00FC7A61"/>
    <w:rsid w:val="00FD1739"/>
    <w:rsid w:val="00FD1912"/>
    <w:rsid w:val="00FD2386"/>
    <w:rsid w:val="00FD31C0"/>
    <w:rsid w:val="00FD4092"/>
    <w:rsid w:val="00FD40CA"/>
    <w:rsid w:val="00FD4820"/>
    <w:rsid w:val="00FD657A"/>
    <w:rsid w:val="00FD674D"/>
    <w:rsid w:val="00FD7E8E"/>
    <w:rsid w:val="00FE29F3"/>
    <w:rsid w:val="00FE2CFD"/>
    <w:rsid w:val="00FE4B89"/>
    <w:rsid w:val="00FE52BF"/>
    <w:rsid w:val="00FE5752"/>
    <w:rsid w:val="00FE5A1D"/>
    <w:rsid w:val="00FE5BDD"/>
    <w:rsid w:val="00FE63AA"/>
    <w:rsid w:val="00FF07B5"/>
    <w:rsid w:val="00FF1D64"/>
    <w:rsid w:val="00FF3C0F"/>
    <w:rsid w:val="00FF598C"/>
    <w:rsid w:val="00FF5B57"/>
    <w:rsid w:val="00FF6C83"/>
    <w:rsid w:val="00FF77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97A8565-5C7A-45DA-857B-042B1C07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CF"/>
  </w:style>
  <w:style w:type="paragraph" w:styleId="Ttulo1">
    <w:name w:val="heading 1"/>
    <w:basedOn w:val="Normal"/>
    <w:next w:val="Normal"/>
    <w:link w:val="Ttulo1Car"/>
    <w:uiPriority w:val="9"/>
    <w:qFormat/>
    <w:rsid w:val="009E2E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D42D2"/>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2D2"/>
    <w:pPr>
      <w:tabs>
        <w:tab w:val="center" w:pos="4252"/>
        <w:tab w:val="right" w:pos="8504"/>
      </w:tabs>
    </w:pPr>
  </w:style>
  <w:style w:type="character" w:customStyle="1" w:styleId="EncabezadoCar">
    <w:name w:val="Encabezado Car"/>
    <w:basedOn w:val="Fuentedeprrafopredeter"/>
    <w:link w:val="Encabezado"/>
    <w:uiPriority w:val="99"/>
    <w:rsid w:val="000D42D2"/>
  </w:style>
  <w:style w:type="paragraph" w:styleId="Piedepgina">
    <w:name w:val="footer"/>
    <w:basedOn w:val="Normal"/>
    <w:link w:val="PiedepginaCar"/>
    <w:uiPriority w:val="99"/>
    <w:unhideWhenUsed/>
    <w:rsid w:val="000D42D2"/>
    <w:pPr>
      <w:tabs>
        <w:tab w:val="center" w:pos="4252"/>
        <w:tab w:val="right" w:pos="8504"/>
      </w:tabs>
    </w:pPr>
  </w:style>
  <w:style w:type="character" w:customStyle="1" w:styleId="PiedepginaCar">
    <w:name w:val="Pie de página Car"/>
    <w:basedOn w:val="Fuentedeprrafopredeter"/>
    <w:link w:val="Piedepgina"/>
    <w:uiPriority w:val="99"/>
    <w:rsid w:val="000D42D2"/>
  </w:style>
  <w:style w:type="paragraph" w:styleId="Textodeglobo">
    <w:name w:val="Balloon Text"/>
    <w:basedOn w:val="Normal"/>
    <w:link w:val="TextodegloboCar"/>
    <w:uiPriority w:val="99"/>
    <w:semiHidden/>
    <w:unhideWhenUsed/>
    <w:rsid w:val="000D42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D42D2"/>
    <w:rPr>
      <w:rFonts w:ascii="Lucida Grande" w:hAnsi="Lucida Grande" w:cs="Lucida Grande"/>
      <w:sz w:val="18"/>
      <w:szCs w:val="18"/>
    </w:rPr>
  </w:style>
  <w:style w:type="character" w:customStyle="1" w:styleId="Ttulo2Car">
    <w:name w:val="Título 2 Car"/>
    <w:basedOn w:val="Fuentedeprrafopredeter"/>
    <w:link w:val="Ttulo2"/>
    <w:uiPriority w:val="9"/>
    <w:rsid w:val="000D42D2"/>
    <w:rPr>
      <w:rFonts w:ascii="Times" w:hAnsi="Times"/>
      <w:b/>
      <w:bCs/>
      <w:sz w:val="36"/>
      <w:szCs w:val="36"/>
    </w:rPr>
  </w:style>
  <w:style w:type="paragraph" w:styleId="NormalWeb">
    <w:name w:val="Normal (Web)"/>
    <w:aliases w:val="Normal (Web) Car Car,Normal (Web) Car Car Car,Normal (Web) Car,Normal (Web) Car Car Car Car Car Car,Normal (Web) Car Car Car Car Car Car Car Car Car"/>
    <w:basedOn w:val="Normal"/>
    <w:uiPriority w:val="99"/>
    <w:semiHidden/>
    <w:unhideWhenUsed/>
    <w:qFormat/>
    <w:rsid w:val="000D42D2"/>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0D42D2"/>
    <w:rPr>
      <w:b/>
      <w:bCs/>
    </w:rPr>
  </w:style>
  <w:style w:type="character" w:customStyle="1" w:styleId="apple-converted-space">
    <w:name w:val="apple-converted-space"/>
    <w:basedOn w:val="Fuentedeprrafopredeter"/>
    <w:rsid w:val="000D42D2"/>
  </w:style>
  <w:style w:type="paragraph" w:customStyle="1" w:styleId="Standard">
    <w:name w:val="Standard"/>
    <w:rsid w:val="001574A9"/>
    <w:pPr>
      <w:suppressAutoHyphens/>
      <w:autoSpaceDN w:val="0"/>
      <w:textAlignment w:val="baseline"/>
    </w:pPr>
    <w:rPr>
      <w:rFonts w:ascii="Times New Roman" w:eastAsia="Times New Roman" w:hAnsi="Times New Roman" w:cs="Times New Roman"/>
      <w:kern w:val="3"/>
      <w:lang w:val="es-ES" w:eastAsia="zh-CN"/>
    </w:rPr>
  </w:style>
  <w:style w:type="table" w:styleId="Tablaconcuadrcula">
    <w:name w:val="Table Grid"/>
    <w:basedOn w:val="Tablanormal"/>
    <w:uiPriority w:val="39"/>
    <w:rsid w:val="00764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251B0"/>
    <w:pPr>
      <w:ind w:left="720"/>
      <w:contextualSpacing/>
    </w:pPr>
  </w:style>
  <w:style w:type="character" w:customStyle="1" w:styleId="Ttulo1Car">
    <w:name w:val="Título 1 Car"/>
    <w:basedOn w:val="Fuentedeprrafopredeter"/>
    <w:link w:val="Ttulo1"/>
    <w:uiPriority w:val="9"/>
    <w:rsid w:val="009E2EA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092">
      <w:bodyDiv w:val="1"/>
      <w:marLeft w:val="0"/>
      <w:marRight w:val="0"/>
      <w:marTop w:val="0"/>
      <w:marBottom w:val="0"/>
      <w:divBdr>
        <w:top w:val="none" w:sz="0" w:space="0" w:color="auto"/>
        <w:left w:val="none" w:sz="0" w:space="0" w:color="auto"/>
        <w:bottom w:val="none" w:sz="0" w:space="0" w:color="auto"/>
        <w:right w:val="none" w:sz="0" w:space="0" w:color="auto"/>
      </w:divBdr>
    </w:div>
    <w:div w:id="286132945">
      <w:bodyDiv w:val="1"/>
      <w:marLeft w:val="0"/>
      <w:marRight w:val="0"/>
      <w:marTop w:val="0"/>
      <w:marBottom w:val="0"/>
      <w:divBdr>
        <w:top w:val="none" w:sz="0" w:space="0" w:color="auto"/>
        <w:left w:val="none" w:sz="0" w:space="0" w:color="auto"/>
        <w:bottom w:val="none" w:sz="0" w:space="0" w:color="auto"/>
        <w:right w:val="none" w:sz="0" w:space="0" w:color="auto"/>
      </w:divBdr>
    </w:div>
    <w:div w:id="322396726">
      <w:bodyDiv w:val="1"/>
      <w:marLeft w:val="0"/>
      <w:marRight w:val="0"/>
      <w:marTop w:val="0"/>
      <w:marBottom w:val="0"/>
      <w:divBdr>
        <w:top w:val="none" w:sz="0" w:space="0" w:color="auto"/>
        <w:left w:val="none" w:sz="0" w:space="0" w:color="auto"/>
        <w:bottom w:val="none" w:sz="0" w:space="0" w:color="auto"/>
        <w:right w:val="none" w:sz="0" w:space="0" w:color="auto"/>
      </w:divBdr>
    </w:div>
    <w:div w:id="699282914">
      <w:bodyDiv w:val="1"/>
      <w:marLeft w:val="0"/>
      <w:marRight w:val="0"/>
      <w:marTop w:val="0"/>
      <w:marBottom w:val="0"/>
      <w:divBdr>
        <w:top w:val="none" w:sz="0" w:space="0" w:color="auto"/>
        <w:left w:val="none" w:sz="0" w:space="0" w:color="auto"/>
        <w:bottom w:val="none" w:sz="0" w:space="0" w:color="auto"/>
        <w:right w:val="none" w:sz="0" w:space="0" w:color="auto"/>
      </w:divBdr>
    </w:div>
    <w:div w:id="723795302">
      <w:bodyDiv w:val="1"/>
      <w:marLeft w:val="0"/>
      <w:marRight w:val="0"/>
      <w:marTop w:val="0"/>
      <w:marBottom w:val="0"/>
      <w:divBdr>
        <w:top w:val="none" w:sz="0" w:space="0" w:color="auto"/>
        <w:left w:val="none" w:sz="0" w:space="0" w:color="auto"/>
        <w:bottom w:val="none" w:sz="0" w:space="0" w:color="auto"/>
        <w:right w:val="none" w:sz="0" w:space="0" w:color="auto"/>
      </w:divBdr>
    </w:div>
    <w:div w:id="804390802">
      <w:bodyDiv w:val="1"/>
      <w:marLeft w:val="0"/>
      <w:marRight w:val="0"/>
      <w:marTop w:val="0"/>
      <w:marBottom w:val="0"/>
      <w:divBdr>
        <w:top w:val="none" w:sz="0" w:space="0" w:color="auto"/>
        <w:left w:val="none" w:sz="0" w:space="0" w:color="auto"/>
        <w:bottom w:val="none" w:sz="0" w:space="0" w:color="auto"/>
        <w:right w:val="none" w:sz="0" w:space="0" w:color="auto"/>
      </w:divBdr>
      <w:divsChild>
        <w:div w:id="1183668741">
          <w:marLeft w:val="432"/>
          <w:marRight w:val="216"/>
          <w:marTop w:val="0"/>
          <w:marBottom w:val="0"/>
          <w:divBdr>
            <w:top w:val="none" w:sz="0" w:space="0" w:color="auto"/>
            <w:left w:val="none" w:sz="0" w:space="0" w:color="auto"/>
            <w:bottom w:val="none" w:sz="0" w:space="0" w:color="auto"/>
            <w:right w:val="none" w:sz="0" w:space="0" w:color="auto"/>
          </w:divBdr>
        </w:div>
        <w:div w:id="452017744">
          <w:marLeft w:val="216"/>
          <w:marRight w:val="432"/>
          <w:marTop w:val="0"/>
          <w:marBottom w:val="0"/>
          <w:divBdr>
            <w:top w:val="none" w:sz="0" w:space="0" w:color="auto"/>
            <w:left w:val="none" w:sz="0" w:space="0" w:color="auto"/>
            <w:bottom w:val="none" w:sz="0" w:space="0" w:color="auto"/>
            <w:right w:val="none" w:sz="0" w:space="0" w:color="auto"/>
          </w:divBdr>
        </w:div>
      </w:divsChild>
    </w:div>
    <w:div w:id="1144197614">
      <w:bodyDiv w:val="1"/>
      <w:marLeft w:val="0"/>
      <w:marRight w:val="0"/>
      <w:marTop w:val="0"/>
      <w:marBottom w:val="0"/>
      <w:divBdr>
        <w:top w:val="none" w:sz="0" w:space="0" w:color="auto"/>
        <w:left w:val="none" w:sz="0" w:space="0" w:color="auto"/>
        <w:bottom w:val="none" w:sz="0" w:space="0" w:color="auto"/>
        <w:right w:val="none" w:sz="0" w:space="0" w:color="auto"/>
      </w:divBdr>
    </w:div>
    <w:div w:id="1188908413">
      <w:bodyDiv w:val="1"/>
      <w:marLeft w:val="0"/>
      <w:marRight w:val="0"/>
      <w:marTop w:val="0"/>
      <w:marBottom w:val="0"/>
      <w:divBdr>
        <w:top w:val="none" w:sz="0" w:space="0" w:color="auto"/>
        <w:left w:val="none" w:sz="0" w:space="0" w:color="auto"/>
        <w:bottom w:val="none" w:sz="0" w:space="0" w:color="auto"/>
        <w:right w:val="none" w:sz="0" w:space="0" w:color="auto"/>
      </w:divBdr>
    </w:div>
    <w:div w:id="1193417679">
      <w:bodyDiv w:val="1"/>
      <w:marLeft w:val="0"/>
      <w:marRight w:val="0"/>
      <w:marTop w:val="0"/>
      <w:marBottom w:val="0"/>
      <w:divBdr>
        <w:top w:val="none" w:sz="0" w:space="0" w:color="auto"/>
        <w:left w:val="none" w:sz="0" w:space="0" w:color="auto"/>
        <w:bottom w:val="none" w:sz="0" w:space="0" w:color="auto"/>
        <w:right w:val="none" w:sz="0" w:space="0" w:color="auto"/>
      </w:divBdr>
      <w:divsChild>
        <w:div w:id="34432568">
          <w:marLeft w:val="432"/>
          <w:marRight w:val="216"/>
          <w:marTop w:val="0"/>
          <w:marBottom w:val="0"/>
          <w:divBdr>
            <w:top w:val="none" w:sz="0" w:space="0" w:color="auto"/>
            <w:left w:val="none" w:sz="0" w:space="0" w:color="auto"/>
            <w:bottom w:val="none" w:sz="0" w:space="0" w:color="auto"/>
            <w:right w:val="none" w:sz="0" w:space="0" w:color="auto"/>
          </w:divBdr>
        </w:div>
        <w:div w:id="470252481">
          <w:marLeft w:val="216"/>
          <w:marRight w:val="432"/>
          <w:marTop w:val="0"/>
          <w:marBottom w:val="0"/>
          <w:divBdr>
            <w:top w:val="none" w:sz="0" w:space="0" w:color="auto"/>
            <w:left w:val="none" w:sz="0" w:space="0" w:color="auto"/>
            <w:bottom w:val="none" w:sz="0" w:space="0" w:color="auto"/>
            <w:right w:val="none" w:sz="0" w:space="0" w:color="auto"/>
          </w:divBdr>
        </w:div>
      </w:divsChild>
    </w:div>
    <w:div w:id="1302805601">
      <w:bodyDiv w:val="1"/>
      <w:marLeft w:val="0"/>
      <w:marRight w:val="0"/>
      <w:marTop w:val="0"/>
      <w:marBottom w:val="0"/>
      <w:divBdr>
        <w:top w:val="none" w:sz="0" w:space="0" w:color="auto"/>
        <w:left w:val="none" w:sz="0" w:space="0" w:color="auto"/>
        <w:bottom w:val="none" w:sz="0" w:space="0" w:color="auto"/>
        <w:right w:val="none" w:sz="0" w:space="0" w:color="auto"/>
      </w:divBdr>
    </w:div>
    <w:div w:id="1541746133">
      <w:bodyDiv w:val="1"/>
      <w:marLeft w:val="0"/>
      <w:marRight w:val="0"/>
      <w:marTop w:val="0"/>
      <w:marBottom w:val="0"/>
      <w:divBdr>
        <w:top w:val="none" w:sz="0" w:space="0" w:color="auto"/>
        <w:left w:val="none" w:sz="0" w:space="0" w:color="auto"/>
        <w:bottom w:val="none" w:sz="0" w:space="0" w:color="auto"/>
        <w:right w:val="none" w:sz="0" w:space="0" w:color="auto"/>
      </w:divBdr>
    </w:div>
    <w:div w:id="1590387107">
      <w:bodyDiv w:val="1"/>
      <w:marLeft w:val="0"/>
      <w:marRight w:val="0"/>
      <w:marTop w:val="0"/>
      <w:marBottom w:val="0"/>
      <w:divBdr>
        <w:top w:val="none" w:sz="0" w:space="0" w:color="auto"/>
        <w:left w:val="none" w:sz="0" w:space="0" w:color="auto"/>
        <w:bottom w:val="none" w:sz="0" w:space="0" w:color="auto"/>
        <w:right w:val="none" w:sz="0" w:space="0" w:color="auto"/>
      </w:divBdr>
    </w:div>
    <w:div w:id="1788233456">
      <w:bodyDiv w:val="1"/>
      <w:marLeft w:val="0"/>
      <w:marRight w:val="0"/>
      <w:marTop w:val="0"/>
      <w:marBottom w:val="0"/>
      <w:divBdr>
        <w:top w:val="none" w:sz="0" w:space="0" w:color="auto"/>
        <w:left w:val="none" w:sz="0" w:space="0" w:color="auto"/>
        <w:bottom w:val="none" w:sz="0" w:space="0" w:color="auto"/>
        <w:right w:val="none" w:sz="0" w:space="0" w:color="auto"/>
      </w:divBdr>
    </w:div>
    <w:div w:id="1823307554">
      <w:bodyDiv w:val="1"/>
      <w:marLeft w:val="0"/>
      <w:marRight w:val="0"/>
      <w:marTop w:val="0"/>
      <w:marBottom w:val="0"/>
      <w:divBdr>
        <w:top w:val="none" w:sz="0" w:space="0" w:color="auto"/>
        <w:left w:val="none" w:sz="0" w:space="0" w:color="auto"/>
        <w:bottom w:val="none" w:sz="0" w:space="0" w:color="auto"/>
        <w:right w:val="none" w:sz="0" w:space="0" w:color="auto"/>
      </w:divBdr>
    </w:div>
    <w:div w:id="1849440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3CC3D9B-8530-4F49-8360-F1C4CC14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3969</TotalTime>
  <Pages>12</Pages>
  <Words>4726</Words>
  <Characters>25997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Cielo Natalia Londoño Vela</cp:lastModifiedBy>
  <cp:revision>393</cp:revision>
  <cp:lastPrinted>2017-02-23T16:56:00Z</cp:lastPrinted>
  <dcterms:created xsi:type="dcterms:W3CDTF">2019-04-11T14:39:00Z</dcterms:created>
  <dcterms:modified xsi:type="dcterms:W3CDTF">2019-09-10T21:41:00Z</dcterms:modified>
</cp:coreProperties>
</file>