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FA" w:rsidRDefault="001E67FA" w:rsidP="0002549D"/>
    <w:p w:rsidR="006E393D" w:rsidRDefault="006E393D" w:rsidP="0002549D"/>
    <w:p w:rsidR="006E393D" w:rsidRDefault="006E393D" w:rsidP="0002549D"/>
    <w:p w:rsidR="00276798" w:rsidRDefault="00276798" w:rsidP="006E393D">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CONTEXTO ESTRATÉGICO</w:t>
      </w:r>
    </w:p>
    <w:p w:rsidR="006E393D" w:rsidRDefault="006E393D" w:rsidP="006E393D">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VIGENCIA 2018 </w:t>
      </w:r>
    </w:p>
    <w:p w:rsidR="006E393D" w:rsidRDefault="006E393D" w:rsidP="006E393D">
      <w:pPr>
        <w:spacing w:after="0" w:line="240" w:lineRule="auto"/>
        <w:jc w:val="center"/>
        <w:rPr>
          <w:rFonts w:ascii="Arial" w:hAnsi="Arial" w:cs="Arial"/>
          <w:b/>
          <w:color w:val="808080" w:themeColor="background1" w:themeShade="80"/>
          <w:sz w:val="56"/>
          <w:szCs w:val="60"/>
        </w:rPr>
      </w:pPr>
    </w:p>
    <w:p w:rsidR="006E393D" w:rsidRDefault="006E393D" w:rsidP="006E393D">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rsidR="006E393D" w:rsidRDefault="006E393D" w:rsidP="006E393D">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rsidR="006E393D" w:rsidRPr="00A1159F" w:rsidRDefault="006E393D" w:rsidP="006E393D">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w:t>
      </w:r>
      <w:bookmarkStart w:id="0" w:name="_GoBack"/>
      <w:bookmarkEnd w:id="0"/>
      <w:r w:rsidRPr="004222A8">
        <w:rPr>
          <w:rFonts w:ascii="Arial" w:hAnsi="Arial" w:cs="Arial"/>
          <w:b/>
          <w:color w:val="808080" w:themeColor="background1" w:themeShade="80"/>
          <w:sz w:val="56"/>
          <w:szCs w:val="60"/>
        </w:rPr>
        <w:t xml:space="preserve"> DE COOPERACIÓN INTERNACIONAL</w:t>
      </w:r>
    </w:p>
    <w:p w:rsidR="006E393D" w:rsidRPr="00A1159F" w:rsidRDefault="006E393D" w:rsidP="006E393D">
      <w:pPr>
        <w:spacing w:after="0" w:line="240" w:lineRule="auto"/>
        <w:jc w:val="center"/>
        <w:rPr>
          <w:rFonts w:ascii="Arial" w:hAnsi="Arial" w:cs="Arial"/>
          <w:b/>
          <w:color w:val="808080" w:themeColor="background1" w:themeShade="80"/>
          <w:sz w:val="28"/>
          <w:szCs w:val="28"/>
        </w:rPr>
      </w:pPr>
    </w:p>
    <w:p w:rsidR="006E393D" w:rsidRDefault="006E393D" w:rsidP="006E393D">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Pr>
          <w:rFonts w:ascii="Arial" w:hAnsi="Arial" w:cs="Arial"/>
          <w:b/>
          <w:color w:val="808080" w:themeColor="background1" w:themeShade="80"/>
          <w:sz w:val="28"/>
          <w:szCs w:val="28"/>
        </w:rPr>
        <w:t>n 1</w:t>
      </w:r>
    </w:p>
    <w:p w:rsidR="006E393D" w:rsidRPr="00A1159F" w:rsidRDefault="006E393D" w:rsidP="006E393D">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31 de enero de 2018</w:t>
      </w:r>
    </w:p>
    <w:p w:rsidR="006E393D" w:rsidRDefault="006E393D" w:rsidP="0002549D"/>
    <w:p w:rsidR="006E393D" w:rsidRDefault="006E393D" w:rsidP="0002549D"/>
    <w:tbl>
      <w:tblPr>
        <w:tblW w:w="14454" w:type="dxa"/>
        <w:tblLayout w:type="fixed"/>
        <w:tblCellMar>
          <w:left w:w="28" w:type="dxa"/>
          <w:right w:w="28" w:type="dxa"/>
        </w:tblCellMar>
        <w:tblLook w:val="04A0" w:firstRow="1" w:lastRow="0" w:firstColumn="1" w:lastColumn="0" w:noHBand="0" w:noVBand="1"/>
      </w:tblPr>
      <w:tblGrid>
        <w:gridCol w:w="1555"/>
        <w:gridCol w:w="2976"/>
        <w:gridCol w:w="2835"/>
        <w:gridCol w:w="3544"/>
        <w:gridCol w:w="3544"/>
      </w:tblGrid>
      <w:tr w:rsidR="006E393D" w:rsidRPr="00037916" w:rsidTr="00A21F16">
        <w:trPr>
          <w:trHeight w:val="288"/>
          <w:tblHeader/>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6E393D" w:rsidRPr="00037916" w:rsidRDefault="006E393D" w:rsidP="00A21F16">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6E393D" w:rsidRPr="00037916" w:rsidTr="00A21F16">
        <w:trPr>
          <w:trHeight w:val="288"/>
          <w:tblHeader/>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976"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6E393D"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rsidR="006E393D" w:rsidRPr="00037916" w:rsidRDefault="006E393D" w:rsidP="00A21F16">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6E393D"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rsidR="006E393D" w:rsidRPr="00037916" w:rsidRDefault="006E393D" w:rsidP="00A21F16">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3544"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6E393D"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rsidR="006E393D" w:rsidRPr="00037916" w:rsidRDefault="006E393D" w:rsidP="00A21F16">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44"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6E393D"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rsidR="006E393D" w:rsidRPr="00037916" w:rsidRDefault="006E393D" w:rsidP="00A21F16">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6E393D" w:rsidRPr="00037916" w:rsidTr="00A21F16">
        <w:trPr>
          <w:trHeight w:val="1596"/>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CE49A3" w:rsidRDefault="006E393D" w:rsidP="00A21F16">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rsidR="006E393D" w:rsidRPr="00CE49A3" w:rsidRDefault="006E393D" w:rsidP="00A21F16">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rsidR="006E393D" w:rsidRPr="00CE49A3" w:rsidRDefault="006E393D" w:rsidP="00A21F16">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rsidR="006E393D" w:rsidRPr="00CE49A3" w:rsidRDefault="006E393D" w:rsidP="00A21F16">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Dinamismo e innovación en la búsqueda de nuevas estrategias para la gestión de la Cooperación Internacional (Diversificación de agendas y estrategias).</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Cumplimiento de las megametas definidas en la Hoja de ruta de la cooperación.</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Implementación de sistemas de información para la toma de decisiones.</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Asesoramiento jurídico permanente a todas las áreas por parte del proceso de Gestión Jurídica.</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Monitoreo permanente del Sistema de gestión de la Calidad para el mejoramiento continuo de los procesos.</w:t>
            </w:r>
          </w:p>
          <w:p w:rsidR="006E393D" w:rsidRPr="00CE49A3" w:rsidRDefault="006E393D" w:rsidP="00A21F16">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 xml:space="preserve">Compromiso de la Alta Dirección con el cumplimiento de los </w:t>
            </w:r>
            <w:r w:rsidRPr="00CE49A3">
              <w:rPr>
                <w:rFonts w:ascii="Arial Narrow" w:hAnsi="Arial Narrow"/>
                <w:sz w:val="20"/>
              </w:rPr>
              <w:lastRenderedPageBreak/>
              <w:t>objetivos estratégicos, sectoriales y de Gobierno.</w:t>
            </w:r>
          </w:p>
          <w:p w:rsidR="006E393D" w:rsidRPr="00CE49A3" w:rsidRDefault="006E393D" w:rsidP="00A21F16">
            <w:pPr>
              <w:pStyle w:val="Prrafodelista"/>
              <w:spacing w:after="0" w:line="240" w:lineRule="auto"/>
              <w:ind w:left="225" w:hanging="212"/>
              <w:rPr>
                <w:rFonts w:ascii="Arial Narrow" w:eastAsia="Times New Roman" w:hAnsi="Arial Narrow" w:cs="Calibri"/>
                <w:color w:val="000000"/>
                <w:sz w:val="20"/>
              </w:rPr>
            </w:pPr>
          </w:p>
          <w:p w:rsidR="006E393D" w:rsidRPr="00CE49A3" w:rsidRDefault="006E393D" w:rsidP="00A21F16">
            <w:pPr>
              <w:spacing w:after="0" w:line="240" w:lineRule="auto"/>
              <w:ind w:left="225" w:hanging="212"/>
              <w:rPr>
                <w:rFonts w:ascii="Arial Narrow" w:eastAsia="Times New Roman" w:hAnsi="Arial Narrow" w:cs="Calibri"/>
                <w:color w:val="000000"/>
                <w:sz w:val="20"/>
              </w:rPr>
            </w:pP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CE49A3" w:rsidRDefault="006E393D" w:rsidP="00A21F16">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 xml:space="preserve">Ingreso a la OCDE </w:t>
            </w:r>
          </w:p>
          <w:p w:rsidR="006E393D" w:rsidRPr="00CE49A3" w:rsidRDefault="006E393D" w:rsidP="00A21F16">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Oportunidad de posicionamiento en la C.I en el marco de Ia construcción de paz y los ODS.</w:t>
            </w:r>
          </w:p>
          <w:p w:rsidR="006E393D" w:rsidRPr="00CE49A3" w:rsidRDefault="006E393D" w:rsidP="00A21F16">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rsidR="006E393D" w:rsidRPr="00CE49A3" w:rsidRDefault="006E393D" w:rsidP="00A21F16">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Aumento de la confianza de los cooperantes a través de estrategia de rendición de cuentas.</w:t>
            </w:r>
          </w:p>
          <w:p w:rsidR="006E393D" w:rsidRPr="00CE49A3" w:rsidRDefault="006E393D" w:rsidP="00A21F16">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rsidR="006E393D" w:rsidRPr="00CE49A3" w:rsidRDefault="006E393D" w:rsidP="00A21F16">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El sector está llamado a jalonar las apuestas en materia de construcción de paz y desarrollo rural sostenible.</w:t>
            </w:r>
          </w:p>
          <w:p w:rsidR="006E393D" w:rsidRPr="00CE49A3" w:rsidRDefault="006E393D" w:rsidP="00A21F16">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Fomento de estrategia de fidelización de las fuentes de cooperación internacional interesadas en temas de construcción de paz, fortalecimiento del desarrollo rural y de la sostenibilidad ambiental.</w:t>
            </w:r>
          </w:p>
          <w:p w:rsidR="006E393D" w:rsidRPr="00CE49A3" w:rsidRDefault="006E393D" w:rsidP="00A21F16">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Implementación de la estrategia para el fortalecimiento </w:t>
            </w:r>
            <w:r w:rsidRPr="00CE49A3">
              <w:rPr>
                <w:rFonts w:ascii="Arial Narrow" w:eastAsia="Times New Roman" w:hAnsi="Arial Narrow" w:cs="Calibri"/>
                <w:color w:val="000000"/>
                <w:sz w:val="20"/>
              </w:rPr>
              <w:lastRenderedPageBreak/>
              <w:t>de la gestión del conocimiento al interior de la Agencia.</w:t>
            </w:r>
          </w:p>
          <w:p w:rsidR="006E393D" w:rsidRPr="00CE49A3" w:rsidRDefault="006E393D" w:rsidP="00A21F16">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Fortalecimiento de las características del personal de APC-Colombia a partir de la implementación de las rutas de la felicidad (MIPG).</w:t>
            </w:r>
            <w:r w:rsidRPr="00CE49A3">
              <w:rPr>
                <w:rFonts w:ascii="Arial Narrow" w:eastAsia="Times New Roman" w:hAnsi="Arial Narrow" w:cs="Calibri"/>
                <w:color w:val="000000"/>
                <w:sz w:val="20"/>
              </w:rPr>
              <w:br/>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CE49A3" w:rsidRDefault="006E393D" w:rsidP="00A21F16">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interna entre los procesos.</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autocontrol de los procesos con relación al Sistema de gestión de la Calidad. (Cultura de la Calidad).</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unificación en los criterios técnicos en el marco conceptual de la cooperación internacional dentro de los procesos.</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institucionales y de negociación, de tal manera que la información se articule con un propósito definido.</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Baja gestión del conocimiento.</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 xml:space="preserve">Las acciones implementadas para la mejora, adecuación y conveniencia de la planeación institucional no responden a lo </w:t>
            </w:r>
            <w:r w:rsidRPr="00CE49A3">
              <w:rPr>
                <w:rFonts w:ascii="Arial Narrow" w:hAnsi="Arial Narrow"/>
                <w:sz w:val="20"/>
              </w:rPr>
              <w:lastRenderedPageBreak/>
              <w:t>observado y recomendado por las diferentes fuentes que evalúan la gestión institucional.</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rsidR="006E393D" w:rsidRPr="00CE49A3" w:rsidRDefault="006E393D" w:rsidP="00A21F16">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apropiación del Modelo de Planeación estratégica que permita el cumplimiento de los objetivos misionales, sectoriales y de gobierno.</w:t>
            </w:r>
          </w:p>
          <w:p w:rsidR="006E393D" w:rsidRPr="00CE49A3" w:rsidRDefault="006E393D" w:rsidP="00A21F16">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rsidR="006E393D" w:rsidRPr="00CE49A3" w:rsidRDefault="006E393D" w:rsidP="00A21F16">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rsidR="006E393D" w:rsidRPr="00CE49A3" w:rsidRDefault="006E393D" w:rsidP="00A21F16">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en los criterios para la producción de la información.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CE49A3" w:rsidRDefault="006E393D" w:rsidP="00A21F16">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rsidR="006E393D" w:rsidRPr="00CE49A3" w:rsidRDefault="006E393D" w:rsidP="00A21F16">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Periodo electoral y cambio de gobierno.</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Poco conocimiento o comprensión de entidades nacionales de las particularidades de la cooperación internacional.</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Posible desarticulación con entidades del sector.</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Actores que intentan beneficiarse de recursos de cooperación de manera fraudulenta (Min. Posconflicto, Noticia noviembre 2017).</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rsidR="006E393D" w:rsidRPr="00CE49A3" w:rsidRDefault="006E393D" w:rsidP="00A21F16">
            <w:pPr>
              <w:pStyle w:val="Prrafodelista"/>
              <w:numPr>
                <w:ilvl w:val="0"/>
                <w:numId w:val="27"/>
              </w:numPr>
              <w:spacing w:after="0" w:line="240" w:lineRule="auto"/>
              <w:ind w:left="284" w:hanging="218"/>
              <w:jc w:val="both"/>
              <w:rPr>
                <w:rFonts w:ascii="Arial Narrow" w:hAnsi="Arial Narrow"/>
                <w:sz w:val="20"/>
              </w:rPr>
            </w:pPr>
            <w:r w:rsidRPr="00CE49A3">
              <w:rPr>
                <w:rFonts w:ascii="Arial Narrow" w:hAnsi="Arial Narrow"/>
                <w:sz w:val="20"/>
              </w:rPr>
              <w:t>Cambios en las prioridades de las agendas de los organismos de cooperación internacional.</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lastRenderedPageBreak/>
              <w:t>Actuación de hackers en los sistemas de información.</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p w:rsidR="006E393D" w:rsidRPr="00CE49A3" w:rsidRDefault="006E393D" w:rsidP="00A21F16">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Trámites internos.</w:t>
            </w:r>
          </w:p>
        </w:tc>
      </w:tr>
      <w:tr w:rsidR="006E393D" w:rsidRPr="00037916" w:rsidTr="00A21F16">
        <w:trPr>
          <w:trHeight w:val="864"/>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Direccionamiento Estratégico y Planea</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4"/>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Dar línea en el comportamiento de la Cooperación</w:t>
            </w:r>
          </w:p>
          <w:p w:rsidR="006E393D" w:rsidRPr="00806CE7" w:rsidRDefault="006E393D" w:rsidP="00A21F16">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Implementación de la actualización de MIPG.</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4"/>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Insuficiencia de recurso humano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4"/>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en el presupuesto de inversión.</w:t>
            </w:r>
          </w:p>
        </w:tc>
      </w:tr>
      <w:tr w:rsidR="006E393D" w:rsidRPr="00037916" w:rsidTr="00A21F16">
        <w:trPr>
          <w:trHeight w:val="487"/>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Compromiso</w:t>
            </w:r>
          </w:p>
          <w:p w:rsidR="006E393D" w:rsidRDefault="006E393D" w:rsidP="00A21F16">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Liderazgo</w:t>
            </w:r>
          </w:p>
          <w:p w:rsidR="006E393D" w:rsidRDefault="006E393D" w:rsidP="00A21F16">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w:t>
            </w:r>
            <w:r w:rsidRPr="00806CE7">
              <w:rPr>
                <w:rFonts w:ascii="Arial Narrow" w:eastAsia="Times New Roman" w:hAnsi="Arial Narrow" w:cs="Calibri"/>
                <w:color w:val="000000"/>
              </w:rPr>
              <w:t>ultidisciplinariedad</w:t>
            </w:r>
          </w:p>
          <w:p w:rsidR="006E393D" w:rsidRDefault="006E393D" w:rsidP="00A21F16">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Metodología de trabajo</w:t>
            </w:r>
          </w:p>
          <w:p w:rsidR="006E393D" w:rsidRPr="00806CE7" w:rsidRDefault="006E393D" w:rsidP="00A21F16">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R</w:t>
            </w:r>
            <w:r w:rsidRPr="00806CE7">
              <w:rPr>
                <w:rFonts w:ascii="Arial Narrow" w:eastAsia="Times New Roman" w:hAnsi="Arial Narrow" w:cs="Calibri"/>
                <w:color w:val="000000"/>
              </w:rPr>
              <w:t xml:space="preserve">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5"/>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Proyectos por realizar, </w:t>
            </w:r>
          </w:p>
          <w:p w:rsidR="006E393D" w:rsidRDefault="006E393D" w:rsidP="00A21F16">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Al</w:t>
            </w:r>
            <w:r w:rsidRPr="00806CE7">
              <w:rPr>
                <w:rFonts w:ascii="Arial Narrow" w:eastAsia="Times New Roman" w:hAnsi="Arial Narrow" w:cs="Calibri"/>
                <w:color w:val="000000"/>
              </w:rPr>
              <w:t xml:space="preserve">ianzas, </w:t>
            </w:r>
          </w:p>
          <w:p w:rsidR="006E393D" w:rsidRDefault="006E393D" w:rsidP="00A21F16">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Posicionamiento de la Agencia</w:t>
            </w:r>
          </w:p>
          <w:p w:rsidR="006E393D" w:rsidRPr="00806CE7" w:rsidRDefault="006E393D" w:rsidP="00A21F16">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C</w:t>
            </w:r>
            <w:r w:rsidRPr="00806CE7">
              <w:rPr>
                <w:rFonts w:ascii="Arial Narrow" w:eastAsia="Times New Roman" w:hAnsi="Arial Narrow" w:cs="Calibri"/>
                <w:color w:val="000000"/>
              </w:rPr>
              <w:t>onocimiento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5"/>
              </w:numPr>
              <w:spacing w:after="0" w:line="240" w:lineRule="auto"/>
              <w:ind w:left="223" w:hanging="220"/>
              <w:rPr>
                <w:rFonts w:ascii="Arial Narrow" w:eastAsia="Times New Roman" w:hAnsi="Arial Narrow" w:cs="Calibri"/>
                <w:color w:val="000000"/>
              </w:rPr>
            </w:pPr>
            <w:r>
              <w:rPr>
                <w:rFonts w:ascii="Arial Narrow" w:eastAsia="Times New Roman" w:hAnsi="Arial Narrow" w:cs="Calibri"/>
                <w:color w:val="000000"/>
              </w:rPr>
              <w:t>Ins</w:t>
            </w:r>
            <w:r w:rsidRPr="00806CE7">
              <w:rPr>
                <w:rFonts w:ascii="Arial Narrow" w:eastAsia="Times New Roman" w:hAnsi="Arial Narrow" w:cs="Calibri"/>
                <w:color w:val="000000"/>
              </w:rPr>
              <w:t xml:space="preserve">uficiencia de personal, de recursos y de capacidad instalada. </w:t>
            </w:r>
          </w:p>
          <w:p w:rsidR="006E393D" w:rsidRPr="00806CE7" w:rsidRDefault="006E393D" w:rsidP="00A21F16">
            <w:pPr>
              <w:pStyle w:val="Prrafodelista"/>
              <w:numPr>
                <w:ilvl w:val="0"/>
                <w:numId w:val="15"/>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 xml:space="preserve">Falta tiempo para investigación, inspiración y creatividad.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Demanda que supera la capacidad de respuesta, </w:t>
            </w:r>
          </w:p>
          <w:p w:rsidR="006E393D" w:rsidRDefault="006E393D" w:rsidP="00A21F16">
            <w:pPr>
              <w:pStyle w:val="Prrafodelista"/>
              <w:numPr>
                <w:ilvl w:val="0"/>
                <w:numId w:val="15"/>
              </w:numPr>
              <w:spacing w:after="0" w:line="240" w:lineRule="auto"/>
              <w:ind w:left="258" w:hanging="218"/>
              <w:rPr>
                <w:rFonts w:ascii="Arial Narrow" w:eastAsia="Times New Roman" w:hAnsi="Arial Narrow" w:cs="Calibri"/>
                <w:color w:val="000000"/>
              </w:rPr>
            </w:pPr>
            <w:r>
              <w:rPr>
                <w:rFonts w:ascii="Arial Narrow" w:eastAsia="Times New Roman" w:hAnsi="Arial Narrow" w:cs="Calibri"/>
                <w:color w:val="000000"/>
              </w:rPr>
              <w:t>T</w:t>
            </w:r>
            <w:r w:rsidRPr="00806CE7">
              <w:rPr>
                <w:rFonts w:ascii="Arial Narrow" w:eastAsia="Times New Roman" w:hAnsi="Arial Narrow" w:cs="Calibri"/>
                <w:color w:val="000000"/>
              </w:rPr>
              <w:t xml:space="preserve">emas </w:t>
            </w:r>
            <w:r>
              <w:rPr>
                <w:rFonts w:ascii="Arial Narrow" w:eastAsia="Times New Roman" w:hAnsi="Arial Narrow" w:cs="Calibri"/>
                <w:color w:val="000000"/>
              </w:rPr>
              <w:t>a</w:t>
            </w:r>
            <w:r w:rsidRPr="00806CE7">
              <w:rPr>
                <w:rFonts w:ascii="Arial Narrow" w:eastAsia="Times New Roman" w:hAnsi="Arial Narrow" w:cs="Calibri"/>
                <w:color w:val="000000"/>
              </w:rPr>
              <w:t xml:space="preserve"> atender en simultanea que inciden desfavorablemente en la calidad de los productos</w:t>
            </w:r>
            <w:r>
              <w:rPr>
                <w:rFonts w:ascii="Arial Narrow" w:eastAsia="Times New Roman" w:hAnsi="Arial Narrow" w:cs="Calibri"/>
                <w:color w:val="000000"/>
              </w:rPr>
              <w:t>.</w:t>
            </w:r>
          </w:p>
          <w:p w:rsidR="006E393D" w:rsidRDefault="006E393D" w:rsidP="00A21F16">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Requerimientos de emergencia.  </w:t>
            </w:r>
          </w:p>
          <w:p w:rsidR="006E393D" w:rsidRPr="00806CE7" w:rsidRDefault="006E393D" w:rsidP="00A21F16">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Trámites internos</w:t>
            </w:r>
          </w:p>
        </w:tc>
      </w:tr>
      <w:tr w:rsidR="006E393D" w:rsidRPr="00037916" w:rsidTr="00A21F16">
        <w:trPr>
          <w:trHeight w:val="1152"/>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Identificación y Priorizació</w:t>
            </w:r>
            <w:r w:rsidR="00276798">
              <w:rPr>
                <w:rFonts w:ascii="Arial Narrow" w:eastAsia="Times New Roman" w:hAnsi="Arial Narrow" w:cs="Calibri"/>
                <w:b/>
                <w:color w:val="000000"/>
              </w:rPr>
              <w:t>n</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9"/>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8"/>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Mejora en las herramientas tecnológicas para gestión del conocimiento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7"/>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Dependencia de plataformas digitales en construcción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806CE7"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Cambios en políticas de gobierno y prioridades que afecten la gestión de la cooperación internacional</w:t>
            </w:r>
          </w:p>
        </w:tc>
      </w:tr>
      <w:tr w:rsidR="006E393D" w:rsidRPr="00037916" w:rsidTr="00A21F16">
        <w:trPr>
          <w:trHeight w:val="488"/>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Preparación y Formulación de la </w:t>
            </w:r>
            <w:r w:rsidRPr="00037916">
              <w:rPr>
                <w:rFonts w:ascii="Arial Narrow" w:eastAsia="Times New Roman" w:hAnsi="Arial Narrow" w:cs="Calibri"/>
                <w:b/>
                <w:color w:val="000000"/>
              </w:rPr>
              <w:lastRenderedPageBreak/>
              <w:t>Cooperación Internacional</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Credibilidad</w:t>
            </w:r>
          </w:p>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Personal</w:t>
            </w:r>
          </w:p>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Rol institucional</w:t>
            </w:r>
          </w:p>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APC-Colombia es la fuente de información de la mayoría de las nuevas oportunidades de cooperación (AOD y CSS) para las entidades y los territorios</w:t>
            </w:r>
          </w:p>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La contrapartida como herramienta para apalancar nuevos recursos</w:t>
            </w:r>
            <w:r w:rsidRPr="00806CE7">
              <w:rPr>
                <w:rFonts w:ascii="Arial Narrow" w:eastAsia="Times New Roman" w:hAnsi="Arial Narrow" w:cs="Calibri"/>
                <w:color w:val="000000"/>
              </w:rPr>
              <w:br/>
              <w:t>Experiencia y conocimiento de los mecanismos de acceso a los diferentes cooperantes</w:t>
            </w:r>
          </w:p>
          <w:p w:rsidR="006E393D"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Trabajo entre áreas de la Agencia (escritorio del cooperante - enlace de la entidad/territorio) para brindar acompaña</w:t>
            </w:r>
            <w:r>
              <w:rPr>
                <w:rFonts w:ascii="Arial Narrow" w:eastAsia="Times New Roman" w:hAnsi="Arial Narrow" w:cs="Calibri"/>
                <w:color w:val="000000"/>
              </w:rPr>
              <w:t>-</w:t>
            </w:r>
            <w:r w:rsidRPr="00806CE7">
              <w:rPr>
                <w:rFonts w:ascii="Arial Narrow" w:eastAsia="Times New Roman" w:hAnsi="Arial Narrow" w:cs="Calibri"/>
                <w:color w:val="000000"/>
              </w:rPr>
              <w:t>miento técnico durante la formulación</w:t>
            </w:r>
            <w:r>
              <w:rPr>
                <w:rFonts w:ascii="Arial Narrow" w:eastAsia="Times New Roman" w:hAnsi="Arial Narrow" w:cs="Calibri"/>
                <w:color w:val="000000"/>
              </w:rPr>
              <w:t>.</w:t>
            </w:r>
          </w:p>
          <w:p w:rsidR="006E393D" w:rsidRPr="00806CE7" w:rsidRDefault="006E393D" w:rsidP="00A21F16">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 xml:space="preserve">Nuevas oportunidades de cooperación que puede recibir el país, relacionadas con la </w:t>
            </w:r>
            <w:r w:rsidRPr="00806CE7">
              <w:rPr>
                <w:rFonts w:ascii="Arial Narrow" w:eastAsia="Times New Roman" w:hAnsi="Arial Narrow" w:cs="Calibri"/>
                <w:color w:val="000000"/>
              </w:rPr>
              <w:lastRenderedPageBreak/>
              <w:t>constr</w:t>
            </w:r>
            <w:r>
              <w:rPr>
                <w:rFonts w:ascii="Arial Narrow" w:eastAsia="Times New Roman" w:hAnsi="Arial Narrow" w:cs="Calibri"/>
                <w:color w:val="000000"/>
              </w:rPr>
              <w:t>ucción de paz y el posconflicto</w:t>
            </w:r>
          </w:p>
          <w:p w:rsidR="006E393D" w:rsidRPr="00806CE7" w:rsidRDefault="006E393D" w:rsidP="00A21F16">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Interés de las entidades y territorios de acceder a cooperación internacional para fortalecer sus acciones en el marco del Plan Nacional de Desarrollo, Planes Territoriales de Desarrollo, metas de los Objetivos de Desarrollo Sostenible.</w:t>
            </w:r>
            <w:r w:rsidRPr="00806CE7">
              <w:rPr>
                <w:rFonts w:ascii="Arial Narrow" w:eastAsia="Times New Roman" w:hAnsi="Arial Narrow" w:cs="Calibri"/>
                <w:color w:val="000000"/>
              </w:rPr>
              <w:br/>
              <w:t>Nuevas oportunidades de cooperación que puede recibir el país, en respuesta al ODS 17 relacionado con el fortalecimiento de las alianzas mundiales para el desarrollo sostenible.</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Falta de formación del equipo en metodologías de formulación de proyectos.</w:t>
            </w:r>
          </w:p>
          <w:p w:rsidR="006E393D" w:rsidRDefault="006E393D" w:rsidP="00A21F16">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Rotación personal.</w:t>
            </w:r>
          </w:p>
          <w:p w:rsidR="006E393D" w:rsidRDefault="006E393D" w:rsidP="00A21F16">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Suficiencia de personal (insuficiencia).</w:t>
            </w:r>
          </w:p>
          <w:p w:rsidR="006E393D" w:rsidRPr="00806CE7" w:rsidRDefault="006E393D" w:rsidP="00A21F16">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Falta de presupuesto para desplazamiento y logística para financiar actividades de formulación de proyectos.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Disminución CI</w:t>
            </w:r>
            <w:r>
              <w:rPr>
                <w:rFonts w:ascii="Arial Narrow" w:eastAsia="Times New Roman" w:hAnsi="Arial Narrow" w:cs="Calibri"/>
                <w:color w:val="000000"/>
              </w:rPr>
              <w:t>.</w:t>
            </w:r>
          </w:p>
          <w:p w:rsidR="006E393D"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Las entidades o territorios no cuentan con recursos de contrapartida cuando es requerida</w:t>
            </w:r>
          </w:p>
          <w:p w:rsidR="006E393D"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Poca disponibilidad del área técnica de las entidades u organizaciones para la formulación de las iniciativas que se presentarán a convocatorias de cooperación</w:t>
            </w:r>
            <w:r>
              <w:rPr>
                <w:rFonts w:ascii="Arial Narrow" w:eastAsia="Times New Roman" w:hAnsi="Arial Narrow" w:cs="Calibri"/>
                <w:color w:val="000000"/>
              </w:rPr>
              <w:t>.</w:t>
            </w:r>
          </w:p>
          <w:p w:rsidR="006E393D"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Divulgación de algunas oportunidades de cooperación con poco tiempo por parte del donante.</w:t>
            </w:r>
          </w:p>
          <w:p w:rsidR="006E393D" w:rsidRPr="00806CE7" w:rsidRDefault="006E393D" w:rsidP="00A21F16">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Requisitos complejos para la aplicación a la oportunidad de cooperación.</w:t>
            </w:r>
          </w:p>
        </w:tc>
      </w:tr>
      <w:tr w:rsidR="006E393D" w:rsidRPr="00037916" w:rsidTr="00A21F16">
        <w:trPr>
          <w:trHeight w:val="1134"/>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Implementación y Seguimiento de la Cooperación Internacional</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Capital humano especializado, competente, altamente calificado y comprometido.</w:t>
            </w:r>
          </w:p>
          <w:p w:rsidR="006E393D"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Disponibilidad de recursos financieros para ejecutar acciones de CSS</w:t>
            </w:r>
          </w:p>
          <w:p w:rsidR="006E393D"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Capacidad de coordinación con sectores y territorios.</w:t>
            </w:r>
          </w:p>
          <w:p w:rsidR="006E393D"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dinámicas de la cooperación.</w:t>
            </w:r>
          </w:p>
          <w:p w:rsidR="006E393D"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 xml:space="preserve"> Tradición y conocimiento en la gestión de la CI.</w:t>
            </w:r>
          </w:p>
          <w:p w:rsidR="006E393D" w:rsidRPr="00806CE7"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Desarrollo del catálogo de buenas prácticas.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Momento en que la CSS tiene un nuevo lugar y posicionamiento a nivel internacional.</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La nueva agenda de desarrollo internacional considera a la cooperación internacional como elemento esencial.</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Existencia de espacios/esquemas </w:t>
            </w:r>
            <w:r w:rsidRPr="00776637">
              <w:rPr>
                <w:rFonts w:ascii="Arial Narrow" w:eastAsia="Times New Roman" w:hAnsi="Arial Narrow" w:cs="Calibri"/>
                <w:color w:val="000000"/>
              </w:rPr>
              <w:lastRenderedPageBreak/>
              <w:t>innovadores hacia la CI (p. ej. asuntos comerciales y culturales).</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Escenario internacional y nacional propicio para promover y ampliar la oferta de cooperación de Colombia.</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Reconocimiento de Colombia como agente activo de la CSS.</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Credibilidad técnica de la entidad como articulador de la CI.</w:t>
            </w:r>
          </w:p>
          <w:p w:rsidR="006E393D"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Alto interés de otros agentes de desarrollo por vincularse a procesos de CI. </w:t>
            </w:r>
          </w:p>
          <w:p w:rsidR="006E393D" w:rsidRPr="00776637"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Contexto político interno </w:t>
            </w:r>
            <w:r>
              <w:rPr>
                <w:rFonts w:ascii="Arial Narrow" w:eastAsia="Times New Roman" w:hAnsi="Arial Narrow" w:cs="Calibri"/>
                <w:color w:val="000000"/>
              </w:rPr>
              <w:t>cambiante.</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 xml:space="preserve">Prevalencia de los procesos administrativos y financieros ante el rol misional. </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esquemas integrales y eficientes desde lo jurídico y administrativo que faciliten la operativización de la CI.</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Poca articulación interna entorno a los objetivos estratégicos de la entidad.</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 xml:space="preserve"> Canales de comunicación interna poco adecuados y efectivos.</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Falta de espacios que estimulen la innovación y la diversificación.</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Alta rotación de personal.</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documental. </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Ausencia de mecanismos para salvaguardar la memoria institucional</w:t>
            </w:r>
            <w:r>
              <w:rPr>
                <w:rFonts w:ascii="Arial Narrow" w:eastAsia="Times New Roman" w:hAnsi="Arial Narrow" w:cs="Calibri"/>
                <w:color w:val="000000"/>
              </w:rPr>
              <w:t>.</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del conocimiento.</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Deficiente estrategia de comunicación que visibilice la manera como Colombia diversifica y gestiona la CI</w:t>
            </w:r>
            <w:r>
              <w:rPr>
                <w:rFonts w:ascii="Arial Narrow" w:eastAsia="Times New Roman" w:hAnsi="Arial Narrow" w:cs="Calibri"/>
                <w:color w:val="000000"/>
              </w:rPr>
              <w:t>.</w:t>
            </w:r>
          </w:p>
          <w:p w:rsidR="006E393D"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Indefinición de procesos de articulación con academia y sector privado.</w:t>
            </w:r>
          </w:p>
          <w:p w:rsidR="006E393D" w:rsidRPr="00776637"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seguimiento y evaluación de la CI.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Diferentes niveles de prioridades y respuestas de las entidades nacionales y de otros países para la CSS y CT.</w:t>
            </w:r>
          </w:p>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Cambio en lineamientos y prioridades de cooperación de los gobiernos de países socios. </w:t>
            </w:r>
          </w:p>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Institucionalidad de la cooperación en Colombia cambiante.</w:t>
            </w:r>
          </w:p>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Dificultades de articulación y coordinación con el MRE. </w:t>
            </w:r>
          </w:p>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Deficiente cultura en la gestión de cooperación basada en proyectos.</w:t>
            </w:r>
          </w:p>
          <w:p w:rsidR="006E393D"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un marco normativo apropiado para la gestión de la CI.</w:t>
            </w:r>
          </w:p>
          <w:p w:rsidR="006E393D" w:rsidRPr="00776637" w:rsidRDefault="006E393D" w:rsidP="00A21F16">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Poco conocimiento o comprensión de otros actores de las particularidades de la cooperación internacional.</w:t>
            </w:r>
          </w:p>
        </w:tc>
      </w:tr>
      <w:tr w:rsidR="006E393D" w:rsidRPr="00037916" w:rsidTr="00A21F16">
        <w:trPr>
          <w:trHeight w:val="576"/>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del Talento Humano</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0"/>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Consolidación del Equipo Interno de Trabajo, para asegurar el logro de los objetivos del proceso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Accesibilidad a la alta dirección para la toma de decisiones del proceso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No aprobación del presupuesto para vincular profesionales de apoyo en el proceso</w:t>
            </w:r>
          </w:p>
        </w:tc>
      </w:tr>
      <w:tr w:rsidR="006E393D" w:rsidRPr="00037916" w:rsidTr="00A21F16">
        <w:trPr>
          <w:trHeight w:val="487"/>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Contractual</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Generar una coordinación contractual</w:t>
            </w:r>
            <w:r>
              <w:rPr>
                <w:rFonts w:ascii="Arial Narrow" w:eastAsia="Times New Roman" w:hAnsi="Arial Narrow" w:cs="Calibri"/>
                <w:color w:val="000000"/>
              </w:rPr>
              <w:t>.</w:t>
            </w:r>
          </w:p>
          <w:p w:rsidR="006E393D"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Incrementar el conocimiento del grupo</w:t>
            </w:r>
            <w:r>
              <w:rPr>
                <w:rFonts w:ascii="Arial Narrow" w:eastAsia="Times New Roman" w:hAnsi="Arial Narrow" w:cs="Calibri"/>
                <w:color w:val="000000"/>
              </w:rPr>
              <w:t>.</w:t>
            </w:r>
          </w:p>
          <w:p w:rsidR="006E393D" w:rsidRPr="00776637"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Incorporación de SECOP II a la gestión contractual.</w:t>
            </w:r>
            <w:r w:rsidRPr="00776637">
              <w:rPr>
                <w:rFonts w:ascii="Arial Narrow" w:eastAsia="Times New Roman" w:hAnsi="Arial Narrow" w:cs="Calibri"/>
                <w:color w:val="000000"/>
              </w:rPr>
              <w:t xml:space="preserve">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Ausencia de acuerdos de servicio.</w:t>
            </w:r>
          </w:p>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p w:rsidR="006E393D" w:rsidRPr="00776637"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Desconocimiento de la norma.</w:t>
            </w:r>
          </w:p>
          <w:p w:rsidR="006E393D" w:rsidRPr="00776637"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oportunidad en la entrega de la información por parte de los demás procesos.</w:t>
            </w:r>
          </w:p>
        </w:tc>
      </w:tr>
      <w:tr w:rsidR="006E393D" w:rsidRPr="00037916" w:rsidTr="00A21F16">
        <w:trPr>
          <w:trHeight w:val="849"/>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Administrativa</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2"/>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Actualización de la herramienta Orfeo</w:t>
            </w:r>
            <w:r w:rsidRPr="00776637">
              <w:rPr>
                <w:rFonts w:ascii="Arial Narrow" w:eastAsia="Times New Roman" w:hAnsi="Arial Narrow" w:cs="Calibri"/>
                <w:color w:val="000000"/>
              </w:rPr>
              <w:br/>
              <w:t>Articulación Con SGI</w:t>
            </w:r>
            <w:r w:rsidRPr="00776637">
              <w:rPr>
                <w:rFonts w:ascii="Arial Narrow" w:eastAsia="Times New Roman" w:hAnsi="Arial Narrow" w:cs="Calibri"/>
                <w:color w:val="000000"/>
              </w:rPr>
              <w:br/>
              <w:t xml:space="preserve">Adquisición de conocimientos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Personal insuficiente.</w:t>
            </w:r>
            <w:r w:rsidRPr="00776637">
              <w:rPr>
                <w:rFonts w:ascii="Arial Narrow" w:eastAsia="Times New Roman" w:hAnsi="Arial Narrow" w:cs="Calibri"/>
                <w:color w:val="000000"/>
              </w:rPr>
              <w:br/>
              <w:t>Espacio físico Reducido para el Archivo Central.</w:t>
            </w:r>
          </w:p>
          <w:p w:rsidR="006E393D" w:rsidRPr="00776637"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Presupuesto insuficiente para tercerización del archivo histórico.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Pérdida, daño o hurto de los elementos o bienes de la entidad</w:t>
            </w:r>
          </w:p>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o daño de información del archivo físico de la Entidad</w:t>
            </w:r>
          </w:p>
          <w:p w:rsidR="006E393D" w:rsidRPr="00776637"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Destinación indebida de los recursos asignados a la caja menor</w:t>
            </w:r>
          </w:p>
        </w:tc>
      </w:tr>
      <w:tr w:rsidR="006E393D" w:rsidRPr="00037916" w:rsidTr="00A21F16">
        <w:trPr>
          <w:trHeight w:val="1440"/>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Financiera</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3"/>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Transición de la contabilidad con normas colombianas a la Contabilidad con normas Internacionales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776637"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Recibir información errada proveniente de los otros procesos de la entidad.</w:t>
            </w:r>
            <w:r w:rsidRPr="00776637">
              <w:rPr>
                <w:rFonts w:ascii="Arial Narrow" w:eastAsia="Times New Roman" w:hAnsi="Arial Narrow" w:cs="Calibri"/>
                <w:color w:val="000000"/>
              </w:rPr>
              <w:br/>
              <w:t xml:space="preserve">Pago de sanciones y/o multas por incumplimientos.    </w:t>
            </w:r>
            <w:r w:rsidRPr="00776637">
              <w:rPr>
                <w:rFonts w:ascii="Arial Narrow" w:eastAsia="Times New Roman" w:hAnsi="Arial Narrow" w:cs="Calibri"/>
                <w:color w:val="000000"/>
              </w:rPr>
              <w:br/>
              <w:t xml:space="preserve">Quejas, reclamos, demandas, etc., relacionados con incumplimientos.  </w:t>
            </w:r>
          </w:p>
        </w:tc>
      </w:tr>
      <w:tr w:rsidR="006E393D" w:rsidRPr="00037916" w:rsidTr="00A21F16">
        <w:trPr>
          <w:trHeight w:val="576"/>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Talento humano competente.</w:t>
            </w:r>
            <w:r w:rsidRPr="00244BF3">
              <w:rPr>
                <w:rFonts w:ascii="Arial Narrow" w:eastAsia="Times New Roman" w:hAnsi="Arial Narrow" w:cs="Calibri"/>
                <w:color w:val="000000"/>
              </w:rPr>
              <w:br/>
              <w:t>Presupuesto para Infraestructura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Implementación de herramientas tecnológicas de apoyo a la relación con los clientes y socios.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Personal insuficiente para asuntos de TI.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Incapacidad de responder a una situación imprevista que impida la continuidad de los servicios TI</w:t>
            </w:r>
          </w:p>
        </w:tc>
      </w:tr>
      <w:tr w:rsidR="006E393D" w:rsidRPr="00037916" w:rsidTr="00A21F16">
        <w:trPr>
          <w:trHeight w:val="817"/>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Equipo humano capacitado y comprometido</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Experiencia</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Disponibilidad de herramientas de consulta</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Seguimiento periódico a las labores y acciones de mejora</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Estructura organizada de trabajo</w:t>
            </w:r>
          </w:p>
          <w:p w:rsidR="006E393D" w:rsidRPr="00244BF3"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y/o acceso a herramientas legislativas y jurisprudenciales</w:t>
            </w:r>
          </w:p>
          <w:p w:rsidR="006E393D"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Ejercer un rol activo en las etapas tempranas de los procesos misionales</w:t>
            </w:r>
          </w:p>
          <w:p w:rsidR="006E393D" w:rsidRPr="00244BF3"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de nuevos conocimientos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Ausencia de acuerdos de servicio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Pr="00244BF3"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Insuficiencia de información</w:t>
            </w:r>
            <w:r w:rsidRPr="00244BF3">
              <w:rPr>
                <w:rFonts w:ascii="Arial Narrow" w:eastAsia="Times New Roman" w:hAnsi="Arial Narrow" w:cs="Calibri"/>
                <w:color w:val="000000"/>
              </w:rPr>
              <w:br/>
              <w:t>Desconocimiento de las áreas de los asuntos que son entregados para revisión jurídica</w:t>
            </w:r>
          </w:p>
        </w:tc>
      </w:tr>
      <w:tr w:rsidR="006E393D" w:rsidRPr="00037916" w:rsidTr="00A21F16">
        <w:trPr>
          <w:trHeight w:val="346"/>
        </w:trPr>
        <w:tc>
          <w:tcPr>
            <w:tcW w:w="155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E393D" w:rsidRPr="00037916" w:rsidRDefault="006E393D" w:rsidP="00A21F16">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Evaluación, Control y Mejoramiento</w:t>
            </w:r>
          </w:p>
        </w:tc>
        <w:tc>
          <w:tcPr>
            <w:tcW w:w="29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gestión pública por parte del líder del proceso</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control interno por parte del líder del proceso</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Clima laboral favorable en el proceso.</w:t>
            </w:r>
          </w:p>
          <w:p w:rsidR="006E393D"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lastRenderedPageBreak/>
              <w:t>Sentido de pertenencia y de vocación por el servicio público.</w:t>
            </w:r>
          </w:p>
          <w:p w:rsidR="006E393D" w:rsidRPr="00244BF3" w:rsidRDefault="006E393D" w:rsidP="00A21F16">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lastRenderedPageBreak/>
              <w:t>Ingreso de nuevos funcionarios a la APC por el concurso de la CNSC.</w:t>
            </w:r>
          </w:p>
          <w:p w:rsidR="006E393D" w:rsidRPr="00244BF3" w:rsidRDefault="006E393D" w:rsidP="00A21F16">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 xml:space="preserve">Equipo transversal de jefes de control interno contribuye a transferir conocimiento y promover consulta sobre </w:t>
            </w:r>
            <w:r w:rsidRPr="00244BF3">
              <w:rPr>
                <w:rFonts w:ascii="Arial Narrow" w:eastAsia="Times New Roman" w:hAnsi="Arial Narrow" w:cs="Calibri"/>
                <w:color w:val="000000"/>
              </w:rPr>
              <w:lastRenderedPageBreak/>
              <w:t xml:space="preserve">novedades en la gestión pública.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lastRenderedPageBreak/>
              <w:t>Escasa experiencia en oficinas de control interno de algunos integrantes del proceso</w:t>
            </w:r>
          </w:p>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Imposibilidad de acceso a capacitación en temas propios de control interno</w:t>
            </w:r>
          </w:p>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 xml:space="preserve">Alta rotación de personal del proceso </w:t>
            </w:r>
          </w:p>
          <w:p w:rsidR="006E393D"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 xml:space="preserve">No contar con personal experto en áreas como contabilidad, financiera, </w:t>
            </w:r>
            <w:r w:rsidRPr="00244BF3">
              <w:rPr>
                <w:rFonts w:ascii="Arial Narrow" w:eastAsia="Times New Roman" w:hAnsi="Arial Narrow" w:cs="Calibri"/>
                <w:color w:val="000000"/>
              </w:rPr>
              <w:lastRenderedPageBreak/>
              <w:t>contratación, jurídica y cooperación internacional</w:t>
            </w:r>
          </w:p>
          <w:p w:rsidR="006E393D" w:rsidRPr="00244BF3" w:rsidRDefault="006E393D" w:rsidP="00A21F16">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La competencia de los auditores internos no es adecuada para realizar auditorías al sistema de gestión integral.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lastRenderedPageBreak/>
              <w:t>No tener espacios de participación del proceso en instancias directivas</w:t>
            </w:r>
          </w:p>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Fallas del módulo de auditorías y planes de mejoramiento del aplicativo Brújula</w:t>
            </w:r>
          </w:p>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Escaso conocimiento de las bondades del control interno como apoyo de la gerencia</w:t>
            </w:r>
          </w:p>
          <w:p w:rsidR="006E393D"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lastRenderedPageBreak/>
              <w:t xml:space="preserve">El sistema de control interno no se reconoce como una responsabilidad de la alta dirección. </w:t>
            </w:r>
          </w:p>
          <w:p w:rsidR="006E393D" w:rsidRPr="00244BF3" w:rsidRDefault="006E393D" w:rsidP="00A21F16">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Apropiación inadecuada del concepto de control.</w:t>
            </w:r>
          </w:p>
        </w:tc>
      </w:tr>
    </w:tbl>
    <w:p w:rsidR="006E393D" w:rsidRPr="0002549D" w:rsidRDefault="006E393D" w:rsidP="0002549D"/>
    <w:sectPr w:rsidR="006E393D" w:rsidRPr="0002549D" w:rsidSect="0002549D">
      <w:headerReference w:type="default" r:id="rId8"/>
      <w:footerReference w:type="default" r:id="rId9"/>
      <w:pgSz w:w="15840" w:h="12240" w:orient="landscape"/>
      <w:pgMar w:top="1985" w:right="212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B8" w:rsidRDefault="005F6FB8" w:rsidP="00DA628A">
      <w:pPr>
        <w:spacing w:after="0" w:line="240" w:lineRule="auto"/>
      </w:pPr>
      <w:r>
        <w:separator/>
      </w:r>
    </w:p>
  </w:endnote>
  <w:endnote w:type="continuationSeparator" w:id="0">
    <w:p w:rsidR="005F6FB8" w:rsidRDefault="005F6FB8"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rsidR="004E43D2" w:rsidRDefault="004E43D2" w:rsidP="005D3669">
            <w:pPr>
              <w:tabs>
                <w:tab w:val="left" w:pos="11700"/>
              </w:tabs>
              <w:autoSpaceDE w:val="0"/>
              <w:autoSpaceDN w:val="0"/>
              <w:adjustRightInd w:val="0"/>
              <w:spacing w:after="0" w:line="240" w:lineRule="auto"/>
              <w:jc w:val="right"/>
            </w:pPr>
          </w:p>
          <w:p w:rsidR="004E43D2" w:rsidRDefault="004E43D2"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rsidR="004E43D2" w:rsidRDefault="004E4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y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R5QnHDX&#10;ij2AdLUCZYEIYe7BolH6B0YDzJAcm+9bqjlG7XsJ8k9jQtzQ8RsymcFLQvrcsj63UFkBVI4tRuNy&#10;acdBte212DQQaXxwUt3Ak6mFV/NTVoeHBnPCkzrMNDeIzvfe62nyLn4B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LRZ&#10;v/K8AgAAwQUAAA4AAAAAAAAAAAAAAAAALgIAAGRycy9lMm9Eb2MueG1sUEsBAi0AFAAGAAgAAAAh&#10;AM8EGOHfAAAACwEAAA8AAAAAAAAAAAAAAAAAFgUAAGRycy9kb3ducmV2LnhtbFBLBQYAAAAABAAE&#10;APMAAAAiBgAAAAA=&#10;" filled="f" stroked="f">
                      <v:textbo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rsidR="004E43D2" w:rsidRDefault="004E43D2"/>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rsidR="004E43D2" w:rsidRDefault="004E4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wR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Pz0RF92J&#10;ea3YAyhYKxAYaBHmHyxapb9jNMIsKbD5tqWaY9S9k/AKspgQN3z8hsyuEtjoc8v63EJlDVAFthhN&#10;y6WdBtZ20GLTQqTp3Ul1Ay+nEV7Uj1kd3hvMC8/tMNvcQDrfe6/HCbz4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FdsEb0CAADJBQAADgAAAAAAAAAAAAAAAAAuAgAAZHJzL2Uyb0RvYy54bWxQSwECLQAUAAYACAAA&#10;ACEA4Rv4MOAAAAAOAQAADwAAAAAAAAAAAAAAAAAXBQAAZHJzL2Rvd25yZXYueG1sUEsFBgAAAAAE&#10;AAQA8wAAACQGAAAAAA==&#10;" filled="f" stroked="f">
                      <v:textbo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rsidR="004E43D2" w:rsidRDefault="004E43D2"/>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rsidR="004E43D2" w:rsidRDefault="004E4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y2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k&#10;2AdrxZ5AwVqBwECLMP9g0Sj9A6MBZkmOzfct1Ryj9r2ELkhjQtzw8RsymSWw0ZeW9aWFygqgcmwx&#10;GpdLOw6sba/FpgFPY99JdQedUwsvatdiI6tDv8G88LEdZpsbSJd7f+s8gRe/A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pRctsACAADJBQAADgAAAAAAAAAAAAAAAAAuAgAAZHJzL2Uyb0RvYy54bWxQSwECLQAUAAYA&#10;CAAAACEA4Rv4MOAAAAAOAQAADwAAAAAAAAAAAAAAAAAaBQAAZHJzL2Rvd25yZXYueG1sUEsFBgAA&#10;AAAEAAQA8wAAACcGAAAAAA==&#10;" filled="f" stroked="f">
                      <v:textbo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rsidR="004E43D2" w:rsidRDefault="004E43D2"/>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rsidR="004E43D2" w:rsidRDefault="004E4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PU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IRpJ20KPVjjKtEOPI8oNVCCxQpqE3GXjf9+BvD7fqAFc8ZdPfqeqrQVKtGiq3/EZrNTScMkgz&#10;djfDi6sjjnEgm+G9YhCO7qzyQIdad66GUBUE6NCuh3OLIBFUwWFC4ojMwFSBbZJOotnUh6DZ6Xav&#10;jX3LVYfcIscaJODR6f7OWJcNzU4uLphUpWhbL4NWPjkAx/EEYsNVZ3NZ+K7+SKN0vVgvSECS2Tog&#10;UVEEN+WKBLMynk+LSbFaFfFPFzcmWSMY49KFOSksJn/WwaPWR22cNWZUK5iDcykZvd2sWo32FBRe&#10;+u9YkAu38GkavgjA5RmlOCHRbZIG5WwxD0hJpkE6jxZBFKe36SwiKSnKp5TuhOT/TgkNOU6nyXQU&#10;02+5Rf57yY1mnbAwQ1rR5XhxdqKZk+BaMt9aS0U7ri9K4dJ/LAW0+9RoL1in0VGt9rA5+CcycdGd&#10;mDeKPYCCtQKBgRZh/sGiUfo7RgPMkhybbzuqOUbtOwmvII0JccPHb8h0nsBGX1o2lxYqK4DKscVo&#10;XK7sOLB2vRbbBiKN706qG3g5tfCifszq+N5gXnhux9nmBtLl3ns9TuDl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Aqs9S+AgAAyQUAAA4AAAAAAAAAAAAAAAAALgIAAGRycy9lMm9Eb2MueG1sUEsBAi0AFAAGAAgA&#10;AAAhAOEb+DDgAAAADgEAAA8AAAAAAAAAAAAAAAAAGAUAAGRycy9kb3ducmV2LnhtbFBLBQYAAAAA&#10;BAAEAPMAAAAlBgAAAAA=&#10;" filled="f" stroked="f">
                      <v:textbox>
                        <w:txbxContent>
                          <w:p w:rsidR="004E43D2" w:rsidRPr="00B34233" w:rsidRDefault="004E43D2"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Default="004E43D2"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rsidR="004E43D2" w:rsidRDefault="004E43D2"/>
                        </w:txbxContent>
                      </v:textbox>
                    </v:shape>
                  </w:pict>
                </mc:Fallback>
              </mc:AlternateContent>
            </w:r>
          </w:p>
          <w:p w:rsidR="004E43D2" w:rsidRPr="00DE1C1B" w:rsidRDefault="004E43D2"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D2" w:rsidRPr="00B34233" w:rsidRDefault="004E43D2"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Pr="007B3683" w:rsidRDefault="004E43D2"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rsidR="004E43D2" w:rsidRPr="007B3683" w:rsidRDefault="004E43D2" w:rsidP="002745F6">
                                  <w:pPr>
                                    <w:spacing w:after="0" w:line="240" w:lineRule="auto"/>
                                  </w:pPr>
                                </w:p>
                                <w:p w:rsidR="004E43D2" w:rsidRPr="002745F6" w:rsidRDefault="004E43D2"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Pz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p/eCAA5sS8&#10;VuwBFKwVCAy0CNMPFo3SPzAaYJLk2HzfUs0xat9LeAVpTIgbPX5DJrMENvrcsj63UFkBVI4tRuNy&#10;acdxte212DQQaXx3Ut3Ay6mFF/VTVof3BtPCcztMNjeOzvfe62n+Ln4B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6DOj&#10;87wCAADHBQAADgAAAAAAAAAAAAAAAAAuAgAAZHJzL2Uyb0RvYy54bWxQSwECLQAUAAYACAAAACEA&#10;+zsTkN4AAAAKAQAADwAAAAAAAAAAAAAAAAAWBQAAZHJzL2Rvd25yZXYueG1sUEsFBgAAAAAEAAQA&#10;8wAAACEGAAAAAA==&#10;" filled="f" stroked="f">
                      <v:textbox>
                        <w:txbxContent>
                          <w:p w:rsidR="004E43D2" w:rsidRPr="00B34233" w:rsidRDefault="004E43D2"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E43D2" w:rsidRPr="007B3683" w:rsidRDefault="004E43D2"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rsidR="004E43D2" w:rsidRPr="007B3683" w:rsidRDefault="004E43D2" w:rsidP="002745F6">
                            <w:pPr>
                              <w:spacing w:after="0" w:line="240" w:lineRule="auto"/>
                            </w:pPr>
                          </w:p>
                          <w:p w:rsidR="004E43D2" w:rsidRPr="002745F6" w:rsidRDefault="004E43D2"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276798">
              <w:rPr>
                <w:rFonts w:ascii="Arial" w:hAnsi="Arial" w:cs="Arial"/>
                <w:bCs/>
                <w:noProof/>
                <w:sz w:val="16"/>
                <w:szCs w:val="20"/>
              </w:rPr>
              <w:t>6</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276798">
              <w:rPr>
                <w:rFonts w:ascii="Arial" w:hAnsi="Arial" w:cs="Arial"/>
                <w:bCs/>
                <w:noProof/>
                <w:sz w:val="16"/>
                <w:szCs w:val="20"/>
              </w:rPr>
              <w:t>7</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B8" w:rsidRDefault="005F6FB8" w:rsidP="00DA628A">
      <w:pPr>
        <w:spacing w:after="0" w:line="240" w:lineRule="auto"/>
      </w:pPr>
      <w:r>
        <w:separator/>
      </w:r>
    </w:p>
  </w:footnote>
  <w:footnote w:type="continuationSeparator" w:id="0">
    <w:p w:rsidR="005F6FB8" w:rsidRDefault="005F6FB8" w:rsidP="00DA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D2" w:rsidRPr="00DE1C1B" w:rsidRDefault="004E43D2" w:rsidP="00FB0CAF">
    <w:pPr>
      <w:rPr>
        <w:rFonts w:ascii="Arial" w:hAnsi="Arial" w:cs="Arial"/>
        <w:b/>
        <w:color w:val="FF0000"/>
        <w:sz w:val="20"/>
      </w:rPr>
    </w:pPr>
    <w:r w:rsidRPr="00FB0CAF">
      <w:rPr>
        <w:noProof/>
      </w:rPr>
      <w:drawing>
        <wp:inline distT="0" distB="0" distL="0" distR="0">
          <wp:extent cx="3429000" cy="676275"/>
          <wp:effectExtent l="0" t="0" r="0" b="9525"/>
          <wp:docPr id="12" name="Imagen 2" descr="Macintosh HD:Users:dcastrillon:Documents:Logotipo APC-2017:Piezas:Hoja Carta:2:Formato-hoja-carta-03.jpg"/>
          <wp:cNvGraphicFramePr/>
          <a:graphic xmlns:a="http://schemas.openxmlformats.org/drawingml/2006/main">
            <a:graphicData uri="http://schemas.openxmlformats.org/drawingml/2006/picture">
              <pic:pic xmlns:pic="http://schemas.openxmlformats.org/drawingml/2006/picture">
                <pic:nvPicPr>
                  <pic:cNvPr id="3" name="Imagen 2" descr="Macintosh HD:Users:dcastrillon:Documents:Logotipo APC-2017:Piezas:Hoja Carta:2:Formato-hoja-carta-03.jpg"/>
                  <pic:cNvPicPr/>
                </pic:nvPicPr>
                <pic:blipFill rotWithShape="1">
                  <a:blip r:embed="rId1">
                    <a:extLst>
                      <a:ext uri="{28A0092B-C50C-407E-A947-70E740481C1C}">
                        <a14:useLocalDpi xmlns:a14="http://schemas.microsoft.com/office/drawing/2010/main" val="0"/>
                      </a:ext>
                    </a:extLst>
                  </a:blip>
                  <a:srcRect l="44057" t="21918" b="12161"/>
                  <a:stretch/>
                </pic:blipFill>
                <pic:spPr bwMode="auto">
                  <a:xfrm>
                    <a:off x="0" y="0"/>
                    <a:ext cx="3429717" cy="6764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0"/>
  </w:num>
  <w:num w:numId="4">
    <w:abstractNumId w:val="14"/>
  </w:num>
  <w:num w:numId="5">
    <w:abstractNumId w:val="31"/>
  </w:num>
  <w:num w:numId="6">
    <w:abstractNumId w:val="39"/>
  </w:num>
  <w:num w:numId="7">
    <w:abstractNumId w:val="18"/>
  </w:num>
  <w:num w:numId="8">
    <w:abstractNumId w:val="5"/>
  </w:num>
  <w:num w:numId="9">
    <w:abstractNumId w:val="28"/>
  </w:num>
  <w:num w:numId="10">
    <w:abstractNumId w:val="16"/>
  </w:num>
  <w:num w:numId="11">
    <w:abstractNumId w:val="8"/>
  </w:num>
  <w:num w:numId="12">
    <w:abstractNumId w:val="38"/>
  </w:num>
  <w:num w:numId="13">
    <w:abstractNumId w:val="10"/>
  </w:num>
  <w:num w:numId="14">
    <w:abstractNumId w:val="25"/>
  </w:num>
  <w:num w:numId="15">
    <w:abstractNumId w:val="34"/>
  </w:num>
  <w:num w:numId="16">
    <w:abstractNumId w:val="19"/>
  </w:num>
  <w:num w:numId="17">
    <w:abstractNumId w:val="3"/>
  </w:num>
  <w:num w:numId="18">
    <w:abstractNumId w:val="23"/>
  </w:num>
  <w:num w:numId="19">
    <w:abstractNumId w:val="37"/>
  </w:num>
  <w:num w:numId="20">
    <w:abstractNumId w:val="22"/>
  </w:num>
  <w:num w:numId="21">
    <w:abstractNumId w:val="40"/>
  </w:num>
  <w:num w:numId="22">
    <w:abstractNumId w:val="12"/>
  </w:num>
  <w:num w:numId="23">
    <w:abstractNumId w:val="26"/>
  </w:num>
  <w:num w:numId="24">
    <w:abstractNumId w:val="30"/>
  </w:num>
  <w:num w:numId="25">
    <w:abstractNumId w:val="36"/>
  </w:num>
  <w:num w:numId="26">
    <w:abstractNumId w:val="21"/>
  </w:num>
  <w:num w:numId="27">
    <w:abstractNumId w:val="9"/>
  </w:num>
  <w:num w:numId="28">
    <w:abstractNumId w:val="32"/>
  </w:num>
  <w:num w:numId="29">
    <w:abstractNumId w:val="2"/>
  </w:num>
  <w:num w:numId="30">
    <w:abstractNumId w:val="4"/>
  </w:num>
  <w:num w:numId="31">
    <w:abstractNumId w:val="33"/>
  </w:num>
  <w:num w:numId="32">
    <w:abstractNumId w:val="13"/>
  </w:num>
  <w:num w:numId="33">
    <w:abstractNumId w:val="27"/>
  </w:num>
  <w:num w:numId="34">
    <w:abstractNumId w:val="7"/>
  </w:num>
  <w:num w:numId="35">
    <w:abstractNumId w:val="17"/>
  </w:num>
  <w:num w:numId="36">
    <w:abstractNumId w:val="15"/>
  </w:num>
  <w:num w:numId="37">
    <w:abstractNumId w:val="24"/>
  </w:num>
  <w:num w:numId="38">
    <w:abstractNumId w:val="6"/>
  </w:num>
  <w:num w:numId="39">
    <w:abstractNumId w:val="29"/>
  </w:num>
  <w:num w:numId="40">
    <w:abstractNumId w:val="20"/>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3697"/>
    <w:rsid w:val="0002549D"/>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712D1"/>
    <w:rsid w:val="00073EBB"/>
    <w:rsid w:val="00074165"/>
    <w:rsid w:val="00074A3D"/>
    <w:rsid w:val="00080CD1"/>
    <w:rsid w:val="00081074"/>
    <w:rsid w:val="00082CA2"/>
    <w:rsid w:val="0008331F"/>
    <w:rsid w:val="00090F9E"/>
    <w:rsid w:val="00091446"/>
    <w:rsid w:val="0009290F"/>
    <w:rsid w:val="00092DA0"/>
    <w:rsid w:val="00094559"/>
    <w:rsid w:val="00095B87"/>
    <w:rsid w:val="000A06B1"/>
    <w:rsid w:val="000A093C"/>
    <w:rsid w:val="000A096B"/>
    <w:rsid w:val="000A17C0"/>
    <w:rsid w:val="000A1BEE"/>
    <w:rsid w:val="000A2387"/>
    <w:rsid w:val="000A2FB0"/>
    <w:rsid w:val="000A450A"/>
    <w:rsid w:val="000A6970"/>
    <w:rsid w:val="000A70C7"/>
    <w:rsid w:val="000A747A"/>
    <w:rsid w:val="000B1DC5"/>
    <w:rsid w:val="000B2188"/>
    <w:rsid w:val="000B45A9"/>
    <w:rsid w:val="000B4E44"/>
    <w:rsid w:val="000B61F2"/>
    <w:rsid w:val="000B6ADD"/>
    <w:rsid w:val="000C2EA9"/>
    <w:rsid w:val="000C4A7F"/>
    <w:rsid w:val="000C5A54"/>
    <w:rsid w:val="000C5CF6"/>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FAF"/>
    <w:rsid w:val="000F5A1F"/>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3CB7"/>
    <w:rsid w:val="00123D54"/>
    <w:rsid w:val="00124B48"/>
    <w:rsid w:val="0012533A"/>
    <w:rsid w:val="00125666"/>
    <w:rsid w:val="001257A2"/>
    <w:rsid w:val="00125EB0"/>
    <w:rsid w:val="001261E3"/>
    <w:rsid w:val="001269FB"/>
    <w:rsid w:val="00132EDC"/>
    <w:rsid w:val="00142A27"/>
    <w:rsid w:val="00143699"/>
    <w:rsid w:val="001438EB"/>
    <w:rsid w:val="001444E7"/>
    <w:rsid w:val="00144EB4"/>
    <w:rsid w:val="00144FB9"/>
    <w:rsid w:val="00150376"/>
    <w:rsid w:val="0015099F"/>
    <w:rsid w:val="00150DF7"/>
    <w:rsid w:val="001521A3"/>
    <w:rsid w:val="00155F11"/>
    <w:rsid w:val="00156E11"/>
    <w:rsid w:val="00156E46"/>
    <w:rsid w:val="001629CF"/>
    <w:rsid w:val="00163221"/>
    <w:rsid w:val="001649F2"/>
    <w:rsid w:val="00164FA2"/>
    <w:rsid w:val="00167CC3"/>
    <w:rsid w:val="00167FB1"/>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C05E5"/>
    <w:rsid w:val="001C2077"/>
    <w:rsid w:val="001C3D4B"/>
    <w:rsid w:val="001C5248"/>
    <w:rsid w:val="001C6FCE"/>
    <w:rsid w:val="001C7AFF"/>
    <w:rsid w:val="001D2C99"/>
    <w:rsid w:val="001D31CA"/>
    <w:rsid w:val="001D7880"/>
    <w:rsid w:val="001E1FF5"/>
    <w:rsid w:val="001E2F8E"/>
    <w:rsid w:val="001E60D9"/>
    <w:rsid w:val="001E67FA"/>
    <w:rsid w:val="001F3994"/>
    <w:rsid w:val="001F54EB"/>
    <w:rsid w:val="001F5A42"/>
    <w:rsid w:val="001F5EA5"/>
    <w:rsid w:val="001F5FDB"/>
    <w:rsid w:val="001F74EA"/>
    <w:rsid w:val="00201AB7"/>
    <w:rsid w:val="00201B16"/>
    <w:rsid w:val="00201E2F"/>
    <w:rsid w:val="00203546"/>
    <w:rsid w:val="00206821"/>
    <w:rsid w:val="00210B86"/>
    <w:rsid w:val="002111E4"/>
    <w:rsid w:val="002112E6"/>
    <w:rsid w:val="002114D6"/>
    <w:rsid w:val="002116A1"/>
    <w:rsid w:val="00214F53"/>
    <w:rsid w:val="002150BC"/>
    <w:rsid w:val="00223CF4"/>
    <w:rsid w:val="0022535C"/>
    <w:rsid w:val="002308FA"/>
    <w:rsid w:val="00230C89"/>
    <w:rsid w:val="00232038"/>
    <w:rsid w:val="00232165"/>
    <w:rsid w:val="0023379D"/>
    <w:rsid w:val="0023401C"/>
    <w:rsid w:val="00234F5A"/>
    <w:rsid w:val="0023643D"/>
    <w:rsid w:val="002423CF"/>
    <w:rsid w:val="002424EA"/>
    <w:rsid w:val="00242E32"/>
    <w:rsid w:val="002435FD"/>
    <w:rsid w:val="002445AF"/>
    <w:rsid w:val="00245D44"/>
    <w:rsid w:val="00246B8F"/>
    <w:rsid w:val="00250A02"/>
    <w:rsid w:val="0025159B"/>
    <w:rsid w:val="00252A75"/>
    <w:rsid w:val="00254340"/>
    <w:rsid w:val="00255B1F"/>
    <w:rsid w:val="002635D9"/>
    <w:rsid w:val="00264119"/>
    <w:rsid w:val="00264DBF"/>
    <w:rsid w:val="002650B0"/>
    <w:rsid w:val="002661D2"/>
    <w:rsid w:val="002670A3"/>
    <w:rsid w:val="00267258"/>
    <w:rsid w:val="002672AE"/>
    <w:rsid w:val="002725BE"/>
    <w:rsid w:val="002727F0"/>
    <w:rsid w:val="002745F6"/>
    <w:rsid w:val="00274D23"/>
    <w:rsid w:val="00275DA7"/>
    <w:rsid w:val="00276798"/>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7E69"/>
    <w:rsid w:val="003B26ED"/>
    <w:rsid w:val="003B662D"/>
    <w:rsid w:val="003C1C4C"/>
    <w:rsid w:val="003C395C"/>
    <w:rsid w:val="003C5036"/>
    <w:rsid w:val="003C62EC"/>
    <w:rsid w:val="003D4DF6"/>
    <w:rsid w:val="003D6F02"/>
    <w:rsid w:val="003D74D6"/>
    <w:rsid w:val="003E4193"/>
    <w:rsid w:val="003E6C08"/>
    <w:rsid w:val="003E6C7E"/>
    <w:rsid w:val="003F0848"/>
    <w:rsid w:val="003F2DE3"/>
    <w:rsid w:val="0040720C"/>
    <w:rsid w:val="00407570"/>
    <w:rsid w:val="00415E6A"/>
    <w:rsid w:val="00416AE3"/>
    <w:rsid w:val="00420F9C"/>
    <w:rsid w:val="00422CC2"/>
    <w:rsid w:val="00431620"/>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67B5"/>
    <w:rsid w:val="00466D54"/>
    <w:rsid w:val="00467453"/>
    <w:rsid w:val="0047165F"/>
    <w:rsid w:val="004729C0"/>
    <w:rsid w:val="004732E6"/>
    <w:rsid w:val="00476C8B"/>
    <w:rsid w:val="004815CC"/>
    <w:rsid w:val="00482478"/>
    <w:rsid w:val="0048403D"/>
    <w:rsid w:val="004848E9"/>
    <w:rsid w:val="00484FC4"/>
    <w:rsid w:val="0048593C"/>
    <w:rsid w:val="00486A6F"/>
    <w:rsid w:val="00487938"/>
    <w:rsid w:val="00487BD2"/>
    <w:rsid w:val="004A1A70"/>
    <w:rsid w:val="004A26D5"/>
    <w:rsid w:val="004A2951"/>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43D2"/>
    <w:rsid w:val="004E6897"/>
    <w:rsid w:val="004E68B0"/>
    <w:rsid w:val="004E7D8A"/>
    <w:rsid w:val="004F2083"/>
    <w:rsid w:val="004F408E"/>
    <w:rsid w:val="004F60EF"/>
    <w:rsid w:val="004F6F34"/>
    <w:rsid w:val="00500527"/>
    <w:rsid w:val="00500FF7"/>
    <w:rsid w:val="0050158B"/>
    <w:rsid w:val="00502437"/>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5B"/>
    <w:rsid w:val="005328AD"/>
    <w:rsid w:val="0053338A"/>
    <w:rsid w:val="00533840"/>
    <w:rsid w:val="00541C32"/>
    <w:rsid w:val="00544A78"/>
    <w:rsid w:val="0054526C"/>
    <w:rsid w:val="00545BB0"/>
    <w:rsid w:val="005467E2"/>
    <w:rsid w:val="005468C7"/>
    <w:rsid w:val="0054795F"/>
    <w:rsid w:val="005479D2"/>
    <w:rsid w:val="00547F27"/>
    <w:rsid w:val="00550CAF"/>
    <w:rsid w:val="00551B21"/>
    <w:rsid w:val="00552ACB"/>
    <w:rsid w:val="0055424E"/>
    <w:rsid w:val="00554E93"/>
    <w:rsid w:val="005560B3"/>
    <w:rsid w:val="005609F9"/>
    <w:rsid w:val="00560F01"/>
    <w:rsid w:val="00566797"/>
    <w:rsid w:val="00570A74"/>
    <w:rsid w:val="00576C96"/>
    <w:rsid w:val="0057794B"/>
    <w:rsid w:val="00577BAC"/>
    <w:rsid w:val="00581B09"/>
    <w:rsid w:val="00583B94"/>
    <w:rsid w:val="00585D06"/>
    <w:rsid w:val="005908A7"/>
    <w:rsid w:val="00591001"/>
    <w:rsid w:val="00594F71"/>
    <w:rsid w:val="00596A89"/>
    <w:rsid w:val="005A0DEF"/>
    <w:rsid w:val="005A1391"/>
    <w:rsid w:val="005A30CA"/>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6FB8"/>
    <w:rsid w:val="005F7464"/>
    <w:rsid w:val="00602630"/>
    <w:rsid w:val="0060321D"/>
    <w:rsid w:val="00613E14"/>
    <w:rsid w:val="006154D2"/>
    <w:rsid w:val="00616D6F"/>
    <w:rsid w:val="0062276A"/>
    <w:rsid w:val="006257F4"/>
    <w:rsid w:val="00626370"/>
    <w:rsid w:val="00626ADA"/>
    <w:rsid w:val="00627664"/>
    <w:rsid w:val="00631365"/>
    <w:rsid w:val="00635EE2"/>
    <w:rsid w:val="00635F2B"/>
    <w:rsid w:val="006410EB"/>
    <w:rsid w:val="006451D5"/>
    <w:rsid w:val="00645AED"/>
    <w:rsid w:val="00646107"/>
    <w:rsid w:val="00646733"/>
    <w:rsid w:val="0064688D"/>
    <w:rsid w:val="00647CAC"/>
    <w:rsid w:val="00647CDF"/>
    <w:rsid w:val="006502BB"/>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6D07"/>
    <w:rsid w:val="00680D4B"/>
    <w:rsid w:val="00682E40"/>
    <w:rsid w:val="00690BB2"/>
    <w:rsid w:val="0069113D"/>
    <w:rsid w:val="00691C60"/>
    <w:rsid w:val="00693980"/>
    <w:rsid w:val="00694281"/>
    <w:rsid w:val="00694A1B"/>
    <w:rsid w:val="00694DBC"/>
    <w:rsid w:val="0069502C"/>
    <w:rsid w:val="00696102"/>
    <w:rsid w:val="00697425"/>
    <w:rsid w:val="006A4A1F"/>
    <w:rsid w:val="006A6891"/>
    <w:rsid w:val="006B1302"/>
    <w:rsid w:val="006B16EB"/>
    <w:rsid w:val="006B1A17"/>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393D"/>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1005B"/>
    <w:rsid w:val="00710405"/>
    <w:rsid w:val="0071051D"/>
    <w:rsid w:val="007107E5"/>
    <w:rsid w:val="007112DF"/>
    <w:rsid w:val="007120A1"/>
    <w:rsid w:val="0071226D"/>
    <w:rsid w:val="00713379"/>
    <w:rsid w:val="0071526C"/>
    <w:rsid w:val="00715D8B"/>
    <w:rsid w:val="007168BF"/>
    <w:rsid w:val="00716FEE"/>
    <w:rsid w:val="00717983"/>
    <w:rsid w:val="007251B3"/>
    <w:rsid w:val="007263C7"/>
    <w:rsid w:val="007346EA"/>
    <w:rsid w:val="00741304"/>
    <w:rsid w:val="00742457"/>
    <w:rsid w:val="007434E3"/>
    <w:rsid w:val="0074494D"/>
    <w:rsid w:val="00744A61"/>
    <w:rsid w:val="00750389"/>
    <w:rsid w:val="00751E53"/>
    <w:rsid w:val="007542C2"/>
    <w:rsid w:val="00755A79"/>
    <w:rsid w:val="00755D87"/>
    <w:rsid w:val="00765091"/>
    <w:rsid w:val="00765295"/>
    <w:rsid w:val="00765E1E"/>
    <w:rsid w:val="00766A50"/>
    <w:rsid w:val="00766C0B"/>
    <w:rsid w:val="00767238"/>
    <w:rsid w:val="00767B29"/>
    <w:rsid w:val="00767FBA"/>
    <w:rsid w:val="00774471"/>
    <w:rsid w:val="00775A65"/>
    <w:rsid w:val="00786FC9"/>
    <w:rsid w:val="0079265C"/>
    <w:rsid w:val="00793E3C"/>
    <w:rsid w:val="00794A84"/>
    <w:rsid w:val="007A23CD"/>
    <w:rsid w:val="007A326F"/>
    <w:rsid w:val="007A33AA"/>
    <w:rsid w:val="007A3BDF"/>
    <w:rsid w:val="007A4597"/>
    <w:rsid w:val="007A53F5"/>
    <w:rsid w:val="007A5E06"/>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6F3E"/>
    <w:rsid w:val="008171EB"/>
    <w:rsid w:val="00817958"/>
    <w:rsid w:val="00820032"/>
    <w:rsid w:val="00821665"/>
    <w:rsid w:val="00825267"/>
    <w:rsid w:val="00827D23"/>
    <w:rsid w:val="00831D25"/>
    <w:rsid w:val="00833D7F"/>
    <w:rsid w:val="008341C0"/>
    <w:rsid w:val="008342D6"/>
    <w:rsid w:val="008354B1"/>
    <w:rsid w:val="00835C5B"/>
    <w:rsid w:val="008379D0"/>
    <w:rsid w:val="00843646"/>
    <w:rsid w:val="008448F0"/>
    <w:rsid w:val="00845A33"/>
    <w:rsid w:val="00845E32"/>
    <w:rsid w:val="00846A01"/>
    <w:rsid w:val="00847501"/>
    <w:rsid w:val="00850B51"/>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FF7"/>
    <w:rsid w:val="008E4726"/>
    <w:rsid w:val="008E47A1"/>
    <w:rsid w:val="008E4E73"/>
    <w:rsid w:val="008E4E82"/>
    <w:rsid w:val="008E4FE7"/>
    <w:rsid w:val="008E52C6"/>
    <w:rsid w:val="008F1511"/>
    <w:rsid w:val="008F3D1F"/>
    <w:rsid w:val="008F4790"/>
    <w:rsid w:val="008F6EEE"/>
    <w:rsid w:val="009000DC"/>
    <w:rsid w:val="00900B3A"/>
    <w:rsid w:val="00901DA2"/>
    <w:rsid w:val="00902C29"/>
    <w:rsid w:val="009031B2"/>
    <w:rsid w:val="00903BEE"/>
    <w:rsid w:val="00903CE5"/>
    <w:rsid w:val="00904440"/>
    <w:rsid w:val="00906F17"/>
    <w:rsid w:val="0091005F"/>
    <w:rsid w:val="00910B2D"/>
    <w:rsid w:val="00912F6E"/>
    <w:rsid w:val="0091350F"/>
    <w:rsid w:val="009140CD"/>
    <w:rsid w:val="009146F0"/>
    <w:rsid w:val="00914E04"/>
    <w:rsid w:val="009233BD"/>
    <w:rsid w:val="009239C7"/>
    <w:rsid w:val="00925072"/>
    <w:rsid w:val="00925ACA"/>
    <w:rsid w:val="00926CE8"/>
    <w:rsid w:val="009306F6"/>
    <w:rsid w:val="00930FAD"/>
    <w:rsid w:val="00934756"/>
    <w:rsid w:val="00935F4A"/>
    <w:rsid w:val="00937433"/>
    <w:rsid w:val="00951585"/>
    <w:rsid w:val="00952F3D"/>
    <w:rsid w:val="00955C8C"/>
    <w:rsid w:val="009620C8"/>
    <w:rsid w:val="009652C3"/>
    <w:rsid w:val="00965730"/>
    <w:rsid w:val="00971D2C"/>
    <w:rsid w:val="00973A7B"/>
    <w:rsid w:val="00977984"/>
    <w:rsid w:val="0098188F"/>
    <w:rsid w:val="00981CD6"/>
    <w:rsid w:val="0098203B"/>
    <w:rsid w:val="00983908"/>
    <w:rsid w:val="009849FD"/>
    <w:rsid w:val="0098566C"/>
    <w:rsid w:val="00985F4E"/>
    <w:rsid w:val="00987E8C"/>
    <w:rsid w:val="009918F9"/>
    <w:rsid w:val="009922E5"/>
    <w:rsid w:val="009923A5"/>
    <w:rsid w:val="00994B6A"/>
    <w:rsid w:val="009953A5"/>
    <w:rsid w:val="00997FE2"/>
    <w:rsid w:val="009A121C"/>
    <w:rsid w:val="009A1A6F"/>
    <w:rsid w:val="009A24E0"/>
    <w:rsid w:val="009A5566"/>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E89"/>
    <w:rsid w:val="00A6737E"/>
    <w:rsid w:val="00A70BE8"/>
    <w:rsid w:val="00A754DC"/>
    <w:rsid w:val="00A82C07"/>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7F0F"/>
    <w:rsid w:val="00AD194E"/>
    <w:rsid w:val="00AD300B"/>
    <w:rsid w:val="00AD35B2"/>
    <w:rsid w:val="00AD4FC7"/>
    <w:rsid w:val="00AD6E53"/>
    <w:rsid w:val="00AE4514"/>
    <w:rsid w:val="00AE5493"/>
    <w:rsid w:val="00AE6EA4"/>
    <w:rsid w:val="00AE73C4"/>
    <w:rsid w:val="00AF0437"/>
    <w:rsid w:val="00AF25D0"/>
    <w:rsid w:val="00AF27C3"/>
    <w:rsid w:val="00AF2D7A"/>
    <w:rsid w:val="00AF31B3"/>
    <w:rsid w:val="00AF55D1"/>
    <w:rsid w:val="00AF6514"/>
    <w:rsid w:val="00B00084"/>
    <w:rsid w:val="00B004C7"/>
    <w:rsid w:val="00B009E4"/>
    <w:rsid w:val="00B02769"/>
    <w:rsid w:val="00B04579"/>
    <w:rsid w:val="00B06F2E"/>
    <w:rsid w:val="00B1138C"/>
    <w:rsid w:val="00B13537"/>
    <w:rsid w:val="00B13A4B"/>
    <w:rsid w:val="00B14C61"/>
    <w:rsid w:val="00B14E6A"/>
    <w:rsid w:val="00B1783D"/>
    <w:rsid w:val="00B22FE5"/>
    <w:rsid w:val="00B253E3"/>
    <w:rsid w:val="00B25BEE"/>
    <w:rsid w:val="00B305E1"/>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6011C"/>
    <w:rsid w:val="00B625E6"/>
    <w:rsid w:val="00B6273A"/>
    <w:rsid w:val="00B63F35"/>
    <w:rsid w:val="00B668A9"/>
    <w:rsid w:val="00B70E9B"/>
    <w:rsid w:val="00B7442B"/>
    <w:rsid w:val="00B75953"/>
    <w:rsid w:val="00B7628E"/>
    <w:rsid w:val="00B76C21"/>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CC8"/>
    <w:rsid w:val="00BB5284"/>
    <w:rsid w:val="00BC3620"/>
    <w:rsid w:val="00BC4C0C"/>
    <w:rsid w:val="00BC52F4"/>
    <w:rsid w:val="00BC5378"/>
    <w:rsid w:val="00BC5412"/>
    <w:rsid w:val="00BC6749"/>
    <w:rsid w:val="00BD042C"/>
    <w:rsid w:val="00BD1F7F"/>
    <w:rsid w:val="00BD2483"/>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553F"/>
    <w:rsid w:val="00C327B6"/>
    <w:rsid w:val="00C3691E"/>
    <w:rsid w:val="00C40A23"/>
    <w:rsid w:val="00C413F5"/>
    <w:rsid w:val="00C43B6D"/>
    <w:rsid w:val="00C43EBF"/>
    <w:rsid w:val="00C446A9"/>
    <w:rsid w:val="00C46AF0"/>
    <w:rsid w:val="00C52AAE"/>
    <w:rsid w:val="00C53D1F"/>
    <w:rsid w:val="00C54BD6"/>
    <w:rsid w:val="00C55D0B"/>
    <w:rsid w:val="00C60AB6"/>
    <w:rsid w:val="00C61E81"/>
    <w:rsid w:val="00C6395A"/>
    <w:rsid w:val="00C7012E"/>
    <w:rsid w:val="00C71DA1"/>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593"/>
    <w:rsid w:val="00CC5913"/>
    <w:rsid w:val="00CC684F"/>
    <w:rsid w:val="00CC77E2"/>
    <w:rsid w:val="00CD1555"/>
    <w:rsid w:val="00CD2791"/>
    <w:rsid w:val="00CD3661"/>
    <w:rsid w:val="00CD6236"/>
    <w:rsid w:val="00CD7E91"/>
    <w:rsid w:val="00CE0EC2"/>
    <w:rsid w:val="00CE1865"/>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5FD"/>
    <w:rsid w:val="00D27D41"/>
    <w:rsid w:val="00D324E7"/>
    <w:rsid w:val="00D3258D"/>
    <w:rsid w:val="00D32999"/>
    <w:rsid w:val="00D33112"/>
    <w:rsid w:val="00D3628C"/>
    <w:rsid w:val="00D405EE"/>
    <w:rsid w:val="00D42267"/>
    <w:rsid w:val="00D4309E"/>
    <w:rsid w:val="00D430AF"/>
    <w:rsid w:val="00D4538B"/>
    <w:rsid w:val="00D457FC"/>
    <w:rsid w:val="00D4704A"/>
    <w:rsid w:val="00D51C36"/>
    <w:rsid w:val="00D52F09"/>
    <w:rsid w:val="00D53014"/>
    <w:rsid w:val="00D60FFB"/>
    <w:rsid w:val="00D62418"/>
    <w:rsid w:val="00D636C7"/>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903E8"/>
    <w:rsid w:val="00D9399A"/>
    <w:rsid w:val="00D94B51"/>
    <w:rsid w:val="00D95F88"/>
    <w:rsid w:val="00DA628A"/>
    <w:rsid w:val="00DA640B"/>
    <w:rsid w:val="00DA64C8"/>
    <w:rsid w:val="00DA7CFB"/>
    <w:rsid w:val="00DB178D"/>
    <w:rsid w:val="00DB19EA"/>
    <w:rsid w:val="00DB38D0"/>
    <w:rsid w:val="00DB4EC8"/>
    <w:rsid w:val="00DB6B51"/>
    <w:rsid w:val="00DC2A9A"/>
    <w:rsid w:val="00DC2E1B"/>
    <w:rsid w:val="00DC48E3"/>
    <w:rsid w:val="00DC5950"/>
    <w:rsid w:val="00DC63D9"/>
    <w:rsid w:val="00DC7D0A"/>
    <w:rsid w:val="00DD0DFA"/>
    <w:rsid w:val="00DD10EF"/>
    <w:rsid w:val="00DD2644"/>
    <w:rsid w:val="00DD3DA1"/>
    <w:rsid w:val="00DD40C5"/>
    <w:rsid w:val="00DD5139"/>
    <w:rsid w:val="00DE01C7"/>
    <w:rsid w:val="00DE0B2C"/>
    <w:rsid w:val="00DE1C1B"/>
    <w:rsid w:val="00DE253E"/>
    <w:rsid w:val="00DF18EE"/>
    <w:rsid w:val="00DF32DD"/>
    <w:rsid w:val="00DF512B"/>
    <w:rsid w:val="00DF51B9"/>
    <w:rsid w:val="00DF760A"/>
    <w:rsid w:val="00DF7ACC"/>
    <w:rsid w:val="00E01A2B"/>
    <w:rsid w:val="00E06BC5"/>
    <w:rsid w:val="00E10699"/>
    <w:rsid w:val="00E135BB"/>
    <w:rsid w:val="00E13E0E"/>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82"/>
    <w:rsid w:val="00E531CF"/>
    <w:rsid w:val="00E55D9A"/>
    <w:rsid w:val="00E6099F"/>
    <w:rsid w:val="00E60EA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59"/>
    <w:rsid w:val="00EC54A4"/>
    <w:rsid w:val="00EC68DC"/>
    <w:rsid w:val="00ED065A"/>
    <w:rsid w:val="00ED2FE7"/>
    <w:rsid w:val="00ED31CD"/>
    <w:rsid w:val="00ED3AB1"/>
    <w:rsid w:val="00ED50A2"/>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4464"/>
    <w:rsid w:val="00F447CD"/>
    <w:rsid w:val="00F45ECE"/>
    <w:rsid w:val="00F47298"/>
    <w:rsid w:val="00F50061"/>
    <w:rsid w:val="00F5251B"/>
    <w:rsid w:val="00F542B2"/>
    <w:rsid w:val="00F60A31"/>
    <w:rsid w:val="00F60F9D"/>
    <w:rsid w:val="00F627EA"/>
    <w:rsid w:val="00F628D0"/>
    <w:rsid w:val="00F62FCF"/>
    <w:rsid w:val="00F641FB"/>
    <w:rsid w:val="00F6550C"/>
    <w:rsid w:val="00F70051"/>
    <w:rsid w:val="00F721A7"/>
    <w:rsid w:val="00F735B2"/>
    <w:rsid w:val="00F756EF"/>
    <w:rsid w:val="00F760EB"/>
    <w:rsid w:val="00F76B27"/>
    <w:rsid w:val="00F81E0B"/>
    <w:rsid w:val="00F83AE2"/>
    <w:rsid w:val="00F845B6"/>
    <w:rsid w:val="00F858C0"/>
    <w:rsid w:val="00F90FEF"/>
    <w:rsid w:val="00F91C6C"/>
    <w:rsid w:val="00F97EE6"/>
    <w:rsid w:val="00FA1CD0"/>
    <w:rsid w:val="00FA2FB1"/>
    <w:rsid w:val="00FA537D"/>
    <w:rsid w:val="00FA5D5B"/>
    <w:rsid w:val="00FA6225"/>
    <w:rsid w:val="00FB03E0"/>
    <w:rsid w:val="00FB0CAF"/>
    <w:rsid w:val="00FB1449"/>
    <w:rsid w:val="00FB1E81"/>
    <w:rsid w:val="00FB4526"/>
    <w:rsid w:val="00FB479E"/>
    <w:rsid w:val="00FB4953"/>
    <w:rsid w:val="00FB4FCD"/>
    <w:rsid w:val="00FB5803"/>
    <w:rsid w:val="00FB5F72"/>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C9F"/>
    <w:rsid w:val="00FE5454"/>
    <w:rsid w:val="00FE7927"/>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647A"/>
  <w15:docId w15:val="{28900F5F-FD24-4D2C-9D78-0DDD6B2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68769216">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162411886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6B7B-061F-438D-A557-92C89E86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Cortes Diaz</dc:creator>
  <cp:keywords/>
  <dc:description/>
  <cp:lastModifiedBy>Johana Alexandra Chaparro Sanchez</cp:lastModifiedBy>
  <cp:revision>2</cp:revision>
  <cp:lastPrinted>2016-10-12T23:19:00Z</cp:lastPrinted>
  <dcterms:created xsi:type="dcterms:W3CDTF">2018-01-31T22:37:00Z</dcterms:created>
  <dcterms:modified xsi:type="dcterms:W3CDTF">2018-01-31T22:37:00Z</dcterms:modified>
</cp:coreProperties>
</file>