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36D5B8AF"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0C2DAE">
              <w:rPr>
                <w:rFonts w:ascii="Arial" w:hAnsi="Arial" w:cs="Arial"/>
                <w:noProof/>
                <w:webHidden/>
              </w:rPr>
              <w:t>3</w:t>
            </w:r>
            <w:r w:rsidR="008546D9" w:rsidRPr="009B046D">
              <w:rPr>
                <w:rFonts w:ascii="Arial" w:hAnsi="Arial" w:cs="Arial"/>
                <w:noProof/>
                <w:webHidden/>
              </w:rPr>
              <w:fldChar w:fldCharType="end"/>
            </w:r>
          </w:hyperlink>
        </w:p>
        <w:p w14:paraId="7EF01E25" w14:textId="05ECC942"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9B046D">
              <w:rPr>
                <w:rStyle w:val="Hipervnculo"/>
                <w:rFonts w:ascii="Arial" w:eastAsia="Arial" w:hAnsi="Arial" w:cs="Arial"/>
                <w:noProof/>
                <w:lang w:bidi="es-CO"/>
              </w:rPr>
              <w:t>2. OBJETIVO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_Toc179234610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3</w:t>
            </w:r>
            <w:r w:rsidRPr="009B046D">
              <w:rPr>
                <w:rFonts w:ascii="Arial" w:hAnsi="Arial" w:cs="Arial"/>
                <w:noProof/>
                <w:webHidden/>
              </w:rPr>
              <w:fldChar w:fldCharType="end"/>
            </w:r>
          </w:hyperlink>
        </w:p>
        <w:p w14:paraId="5CC1638E" w14:textId="3BAFB871"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9B046D">
              <w:rPr>
                <w:rStyle w:val="Hipervnculo"/>
                <w:rFonts w:ascii="Arial" w:eastAsia="Arial" w:hAnsi="Arial" w:cs="Arial"/>
                <w:noProof/>
                <w:lang w:bidi="es-CO"/>
              </w:rPr>
              <w:t>3. ALCANCE</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_Toc179234611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153101" w14:textId="3FB9C56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9B046D">
              <w:rPr>
                <w:rStyle w:val="Hipervnculo"/>
                <w:rFonts w:ascii="Arial" w:eastAsia="Arial" w:hAnsi="Arial" w:cs="Arial"/>
                <w:noProof/>
                <w:lang w:bidi="es-CO"/>
              </w:rPr>
              <w:t>4. DESARROLLO METODOLÓGICO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_Toc179234612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05B4DB" w14:textId="708BE20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9B046D">
              <w:rPr>
                <w:rStyle w:val="Hipervnculo"/>
                <w:rFonts w:ascii="Arial" w:eastAsia="Arial" w:hAnsi="Arial" w:cs="Arial"/>
                <w:noProof/>
                <w:lang w:bidi="es-CO"/>
              </w:rPr>
              <w:t>5.RESULTADOS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_Toc179234613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2FF7DF99" w14:textId="74874FA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9B046D">
              <w:rPr>
                <w:rStyle w:val="Hipervnculo"/>
                <w:rFonts w:ascii="Arial" w:eastAsia="Arial" w:hAnsi="Arial" w:cs="Arial"/>
                <w:noProof/>
                <w:lang w:bidi="es-CO"/>
              </w:rPr>
              <w:t>6. TOTAL DE PQRSD RECIBIDAS POR DIRECCIONES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_Toc179234614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5349B73C" w14:textId="2075F459"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sidRPr="009B046D">
              <w:rPr>
                <w:rStyle w:val="Hipervnculo"/>
                <w:rFonts w:ascii="Arial" w:hAnsi="Arial" w:cs="Arial"/>
                <w:noProof/>
                <w:lang w:bidi="es-ES"/>
              </w:rPr>
              <w:t>7.</w:t>
            </w:r>
            <w:r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_Toc179234615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4E075602" w14:textId="7207A9B8"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sidRPr="009B046D">
              <w:rPr>
                <w:rStyle w:val="Hipervnculo"/>
                <w:rFonts w:ascii="Arial" w:hAnsi="Arial" w:cs="Arial"/>
                <w:noProof/>
                <w:lang w:bidi="es-ES"/>
              </w:rPr>
              <w:t>8.</w:t>
            </w:r>
            <w:r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_Toc179234616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8</w:t>
            </w:r>
            <w:r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CA4DBD5"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 xml:space="preserve">Realizar el seguimiento y la evaluación del tratamiento de las PQRSD con el </w:t>
      </w:r>
      <w:r w:rsidR="00874A03">
        <w:rPr>
          <w:rFonts w:ascii="Arial" w:hAnsi="Arial" w:cs="Arial"/>
          <w:noProof/>
          <w:sz w:val="24"/>
          <w:szCs w:val="24"/>
          <w:lang w:val="es-CO"/>
        </w:rPr>
        <w:t xml:space="preserve">fin </w:t>
      </w:r>
      <w:r w:rsidRPr="00D45342">
        <w:rPr>
          <w:rFonts w:ascii="Arial" w:hAnsi="Arial" w:cs="Arial"/>
          <w:noProof/>
          <w:sz w:val="24"/>
          <w:szCs w:val="24"/>
          <w:lang w:val="es-CO"/>
        </w:rPr>
        <w:t>de verificar el cumplimiento oportuno de las respuestas</w:t>
      </w:r>
      <w:r w:rsidR="00874A03">
        <w:rPr>
          <w:rFonts w:ascii="Arial" w:hAnsi="Arial" w:cs="Arial"/>
          <w:noProof/>
          <w:sz w:val="24"/>
          <w:szCs w:val="24"/>
          <w:lang w:val="es-CO"/>
        </w:rPr>
        <w:t xml:space="preserve"> emitidas por la entidad </w:t>
      </w:r>
      <w:r w:rsidRPr="00D45342">
        <w:rPr>
          <w:rFonts w:ascii="Arial" w:hAnsi="Arial" w:cs="Arial"/>
          <w:noProof/>
          <w:sz w:val="24"/>
          <w:szCs w:val="24"/>
          <w:lang w:val="es-CO"/>
        </w:rPr>
        <w:t xml:space="preserve">. </w:t>
      </w:r>
      <w:r w:rsidR="00874A03">
        <w:rPr>
          <w:rFonts w:ascii="Arial" w:hAnsi="Arial" w:cs="Arial"/>
          <w:noProof/>
          <w:sz w:val="24"/>
          <w:szCs w:val="24"/>
          <w:lang w:val="es-CO"/>
        </w:rPr>
        <w:t>Asi mismo</w:t>
      </w:r>
      <w:r w:rsidRPr="00D45342">
        <w:rPr>
          <w:rFonts w:ascii="Arial" w:hAnsi="Arial" w:cs="Arial"/>
          <w:noProof/>
          <w:sz w:val="24"/>
          <w:szCs w:val="24"/>
          <w:lang w:val="es-CO"/>
        </w:rPr>
        <w:t xml:space="preserve">, se </w:t>
      </w:r>
      <w:r w:rsidR="00874A03">
        <w:rPr>
          <w:rFonts w:ascii="Arial" w:hAnsi="Arial" w:cs="Arial"/>
          <w:noProof/>
          <w:sz w:val="24"/>
          <w:szCs w:val="24"/>
          <w:lang w:val="es-CO"/>
        </w:rPr>
        <w:t xml:space="preserve">generan recomendaciones orientadas al fortalecimiento </w:t>
      </w:r>
      <w:r w:rsidRPr="00D45342">
        <w:rPr>
          <w:rFonts w:ascii="Arial" w:hAnsi="Arial" w:cs="Arial"/>
          <w:noProof/>
          <w:sz w:val="24"/>
          <w:szCs w:val="24"/>
          <w:lang w:val="es-CO"/>
        </w:rPr>
        <w:t xml:space="preserve">de los procesos </w:t>
      </w:r>
      <w:r w:rsidR="00874A03">
        <w:rPr>
          <w:rFonts w:ascii="Arial" w:hAnsi="Arial" w:cs="Arial"/>
          <w:noProof/>
          <w:sz w:val="24"/>
          <w:szCs w:val="24"/>
          <w:lang w:val="es-CO"/>
        </w:rPr>
        <w:t xml:space="preserve"> y al </w:t>
      </w:r>
      <w:r w:rsidRPr="00D45342">
        <w:rPr>
          <w:rFonts w:ascii="Arial" w:hAnsi="Arial" w:cs="Arial"/>
          <w:noProof/>
          <w:sz w:val="24"/>
          <w:szCs w:val="24"/>
          <w:lang w:val="es-CO"/>
        </w:rPr>
        <w:t xml:space="preserve"> mejoramiento continuo </w:t>
      </w:r>
      <w:r w:rsidR="00874A03">
        <w:rPr>
          <w:rFonts w:ascii="Arial" w:hAnsi="Arial" w:cs="Arial"/>
          <w:noProof/>
          <w:sz w:val="24"/>
          <w:szCs w:val="24"/>
          <w:lang w:val="es-CO"/>
        </w:rPr>
        <w:t>de la atención de la ciudadania.</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1531DC9A" w:rsidR="00400DAC"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t>ALCANCE</w:t>
      </w:r>
      <w:bookmarkEnd w:id="5"/>
      <w:bookmarkEnd w:id="6"/>
    </w:p>
    <w:p w14:paraId="59DED8A8" w14:textId="1E52EE90"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 xml:space="preserve">primero (01) al </w:t>
      </w:r>
      <w:r w:rsidR="00713D77">
        <w:rPr>
          <w:rFonts w:ascii="Arial" w:eastAsia="Arial" w:hAnsi="Arial" w:cs="Arial"/>
          <w:sz w:val="24"/>
          <w:szCs w:val="24"/>
          <w:lang w:val="es-419" w:eastAsia="es-419"/>
        </w:rPr>
        <w:t>treinta (</w:t>
      </w:r>
      <w:r w:rsidR="00C21648">
        <w:rPr>
          <w:rFonts w:ascii="Arial" w:eastAsia="Arial" w:hAnsi="Arial" w:cs="Arial"/>
          <w:sz w:val="24"/>
          <w:szCs w:val="24"/>
          <w:lang w:val="es-419" w:eastAsia="es-419"/>
        </w:rPr>
        <w:t>3</w:t>
      </w:r>
      <w:r w:rsidR="001309C2">
        <w:rPr>
          <w:rFonts w:ascii="Arial" w:eastAsia="Arial" w:hAnsi="Arial" w:cs="Arial"/>
          <w:sz w:val="24"/>
          <w:szCs w:val="24"/>
          <w:lang w:val="es-419" w:eastAsia="es-419"/>
        </w:rPr>
        <w:t>0</w:t>
      </w:r>
      <w:r w:rsidR="003917D4" w:rsidRPr="00EA6D72">
        <w:rPr>
          <w:rFonts w:ascii="Arial" w:eastAsia="Arial" w:hAnsi="Arial" w:cs="Arial"/>
          <w:sz w:val="24"/>
          <w:szCs w:val="24"/>
          <w:lang w:val="es-419" w:eastAsia="es-419"/>
        </w:rPr>
        <w:t xml:space="preserve">) de </w:t>
      </w:r>
      <w:r w:rsidR="001309C2">
        <w:rPr>
          <w:rFonts w:ascii="Arial" w:eastAsia="Arial" w:hAnsi="Arial" w:cs="Arial"/>
          <w:sz w:val="24"/>
          <w:szCs w:val="24"/>
          <w:lang w:val="es-419" w:eastAsia="es-419"/>
        </w:rPr>
        <w:t xml:space="preserve">abril </w:t>
      </w:r>
      <w:r w:rsidR="00557F97">
        <w:rPr>
          <w:rFonts w:ascii="Arial" w:eastAsia="Arial" w:hAnsi="Arial" w:cs="Arial"/>
          <w:sz w:val="24"/>
          <w:szCs w:val="24"/>
          <w:lang w:val="es-419" w:eastAsia="es-419"/>
        </w:rPr>
        <w:t>d</w:t>
      </w:r>
      <w:r w:rsidR="00BC43EB">
        <w:rPr>
          <w:rFonts w:ascii="Arial" w:eastAsia="Arial" w:hAnsi="Arial" w:cs="Arial"/>
          <w:sz w:val="24"/>
          <w:szCs w:val="24"/>
          <w:lang w:val="es-419" w:eastAsia="es-419"/>
        </w:rPr>
        <w:t>e</w:t>
      </w:r>
      <w:r w:rsidR="003917D4" w:rsidRPr="00EA6D72">
        <w:rPr>
          <w:rFonts w:ascii="Arial" w:eastAsia="Arial" w:hAnsi="Arial" w:cs="Arial"/>
          <w:sz w:val="24"/>
          <w:szCs w:val="24"/>
          <w:lang w:val="es-419" w:eastAsia="es-419"/>
        </w:rPr>
        <w:t xml:space="preserve"> 202</w:t>
      </w:r>
      <w:r w:rsidR="00557F97">
        <w:rPr>
          <w:rFonts w:ascii="Arial" w:eastAsia="Arial" w:hAnsi="Arial" w:cs="Arial"/>
          <w:sz w:val="24"/>
          <w:szCs w:val="24"/>
          <w:lang w:val="es-419" w:eastAsia="es-419"/>
        </w:rPr>
        <w:t>6</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43B71524" w14:textId="25239CA9" w:rsidR="00713D77" w:rsidRDefault="00400DAC" w:rsidP="00713D77">
      <w:pPr>
        <w:autoSpaceDE w:val="0"/>
        <w:autoSpaceDN w:val="0"/>
        <w:spacing w:line="360" w:lineRule="auto"/>
        <w:rPr>
          <w:rFonts w:ascii="Arial" w:eastAsia="Arial Narrow" w:hAnsi="Arial" w:cs="Arial"/>
          <w:sz w:val="24"/>
          <w:szCs w:val="24"/>
          <w:lang w:val="es-CO" w:bidi="es-ES"/>
        </w:rPr>
      </w:pPr>
      <w:r w:rsidRPr="003D4221">
        <w:rPr>
          <w:rFonts w:ascii="Arial" w:hAnsi="Arial" w:cs="Arial"/>
          <w:bCs/>
          <w:sz w:val="24"/>
          <w:szCs w:val="24"/>
          <w:lang w:val="es-CO"/>
        </w:rPr>
        <w:t xml:space="preserve">Se descargó la información del </w:t>
      </w:r>
      <w:r w:rsidR="005D6506" w:rsidRPr="003D4221">
        <w:rPr>
          <w:rFonts w:ascii="Arial" w:hAnsi="Arial" w:cs="Arial"/>
          <w:bCs/>
          <w:sz w:val="24"/>
          <w:szCs w:val="24"/>
          <w:lang w:val="es-CO"/>
        </w:rPr>
        <w:t xml:space="preserve">Sistema de Gestión de Documentos Electrónicos de Archivo Digital </w:t>
      </w:r>
      <w:r w:rsidR="00087994" w:rsidRPr="003D4221">
        <w:rPr>
          <w:rFonts w:ascii="Arial" w:hAnsi="Arial" w:cs="Arial"/>
          <w:bCs/>
          <w:sz w:val="24"/>
          <w:szCs w:val="24"/>
          <w:lang w:val="es-CO"/>
        </w:rPr>
        <w:t>HERMES</w:t>
      </w:r>
      <w:r w:rsidR="005D6506" w:rsidRPr="003D4221">
        <w:rPr>
          <w:rFonts w:ascii="Arial" w:hAnsi="Arial" w:cs="Arial"/>
          <w:bCs/>
          <w:sz w:val="24"/>
          <w:szCs w:val="24"/>
          <w:lang w:val="es-CO"/>
        </w:rPr>
        <w:t xml:space="preserve">, </w:t>
      </w:r>
      <w:r w:rsidRPr="003D4221">
        <w:rPr>
          <w:rFonts w:ascii="Arial" w:hAnsi="Arial" w:cs="Arial"/>
          <w:bCs/>
          <w:sz w:val="24"/>
          <w:szCs w:val="24"/>
          <w:lang w:val="es-CO"/>
        </w:rPr>
        <w:t xml:space="preserve">seleccionando el rango de fechas correspondiente al periodo evaluado en el presente informe </w:t>
      </w:r>
      <w:bookmarkStart w:id="9" w:name="_Toc140836092"/>
      <w:bookmarkStart w:id="10" w:name="_Toc179234613"/>
      <w:r w:rsidR="00713D77" w:rsidRPr="00EA6D72">
        <w:rPr>
          <w:rFonts w:ascii="Arial" w:eastAsia="Arial" w:hAnsi="Arial" w:cs="Arial"/>
          <w:sz w:val="24"/>
          <w:szCs w:val="24"/>
          <w:lang w:val="es-419" w:eastAsia="es-419"/>
        </w:rPr>
        <w:t xml:space="preserve">del primero (01) al </w:t>
      </w:r>
      <w:r w:rsidR="00713D77">
        <w:rPr>
          <w:rFonts w:ascii="Arial" w:eastAsia="Arial" w:hAnsi="Arial" w:cs="Arial"/>
          <w:sz w:val="24"/>
          <w:szCs w:val="24"/>
          <w:lang w:val="es-419" w:eastAsia="es-419"/>
        </w:rPr>
        <w:t>treinta (30</w:t>
      </w:r>
      <w:r w:rsidR="00713D77" w:rsidRPr="00EA6D72">
        <w:rPr>
          <w:rFonts w:ascii="Arial" w:eastAsia="Arial" w:hAnsi="Arial" w:cs="Arial"/>
          <w:sz w:val="24"/>
          <w:szCs w:val="24"/>
          <w:lang w:val="es-419" w:eastAsia="es-419"/>
        </w:rPr>
        <w:t xml:space="preserve">) de </w:t>
      </w:r>
      <w:r w:rsidR="00713D77">
        <w:rPr>
          <w:rFonts w:ascii="Arial" w:eastAsia="Arial" w:hAnsi="Arial" w:cs="Arial"/>
          <w:sz w:val="24"/>
          <w:szCs w:val="24"/>
          <w:lang w:val="es-419" w:eastAsia="es-419"/>
        </w:rPr>
        <w:t>abril de</w:t>
      </w:r>
      <w:r w:rsidR="00713D77" w:rsidRPr="00EA6D72">
        <w:rPr>
          <w:rFonts w:ascii="Arial" w:eastAsia="Arial" w:hAnsi="Arial" w:cs="Arial"/>
          <w:sz w:val="24"/>
          <w:szCs w:val="24"/>
          <w:lang w:val="es-419" w:eastAsia="es-419"/>
        </w:rPr>
        <w:t xml:space="preserve"> 202</w:t>
      </w:r>
      <w:r w:rsidR="00713D77">
        <w:rPr>
          <w:rFonts w:ascii="Arial" w:eastAsia="Arial" w:hAnsi="Arial" w:cs="Arial"/>
          <w:sz w:val="24"/>
          <w:szCs w:val="24"/>
          <w:lang w:val="es-419" w:eastAsia="es-419"/>
        </w:rPr>
        <w:t>6</w:t>
      </w:r>
      <w:r w:rsidR="00713D77" w:rsidRPr="003917D4">
        <w:rPr>
          <w:rFonts w:ascii="Arial" w:eastAsia="Arial Narrow" w:hAnsi="Arial" w:cs="Arial"/>
          <w:sz w:val="24"/>
          <w:szCs w:val="24"/>
          <w:lang w:val="es-CO" w:bidi="es-ES"/>
        </w:rPr>
        <w:t>.</w:t>
      </w:r>
    </w:p>
    <w:p w14:paraId="23E93534" w14:textId="509F9F41" w:rsidR="007429B7" w:rsidRDefault="00C21AF7" w:rsidP="007429B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43DB872C" w14:textId="77777777" w:rsidR="00E608B5" w:rsidRDefault="00E608B5" w:rsidP="00E608B5">
      <w:pPr>
        <w:tabs>
          <w:tab w:val="left" w:pos="900"/>
        </w:tabs>
        <w:spacing w:after="0" w:line="360" w:lineRule="auto"/>
        <w:rPr>
          <w:rFonts w:ascii="Arial" w:eastAsia="Arial" w:hAnsi="Arial" w:cs="Arial"/>
          <w:sz w:val="24"/>
          <w:szCs w:val="24"/>
          <w:lang w:val="es-419" w:eastAsia="es-419"/>
        </w:rPr>
      </w:pPr>
      <w:r w:rsidRPr="00E645AF">
        <w:rPr>
          <w:rFonts w:ascii="Arial" w:hAnsi="Arial" w:cs="Arial"/>
          <w:noProof/>
          <w:sz w:val="24"/>
          <w:szCs w:val="24"/>
          <w:lang w:val="es-CO"/>
        </w:rPr>
        <w:t>Durante el mes de abril de 2026, las direcciones y grupos internos de trabajo de la Agencia Presidencial de Cooperación Internacional de Colombia (APC-Colombia) atendieron oportunamente setenta y tres (73) Peticiones, Quejas, Reclamos, Sugerencias y Denuncias (PQRSD). La totalidad de estas solicitudes fue asignada, gestionada y respondida dentro de los plazos establecidos en la Resolución 239 de 2022, a través del Sistema de Gestión de Documentos Electrónicos de Archivo Digital HERMES</w:t>
      </w:r>
      <w:r w:rsidRPr="00E608B5">
        <w:rPr>
          <w:rFonts w:ascii="Arial" w:eastAsia="Arial" w:hAnsi="Arial" w:cs="Arial"/>
          <w:sz w:val="24"/>
          <w:szCs w:val="24"/>
          <w:lang w:val="es-419" w:eastAsia="es-419"/>
        </w:rPr>
        <w:t>.</w:t>
      </w:r>
    </w:p>
    <w:p w14:paraId="146EE855" w14:textId="77777777" w:rsidR="00E608B5" w:rsidRPr="00E608B5" w:rsidRDefault="00E608B5" w:rsidP="00E608B5">
      <w:pPr>
        <w:tabs>
          <w:tab w:val="left" w:pos="900"/>
        </w:tabs>
        <w:spacing w:after="0" w:line="360" w:lineRule="auto"/>
        <w:rPr>
          <w:rFonts w:ascii="Arial" w:eastAsia="Arial" w:hAnsi="Arial" w:cs="Arial"/>
          <w:sz w:val="24"/>
          <w:szCs w:val="24"/>
          <w:lang w:val="es-419" w:eastAsia="es-419"/>
        </w:rPr>
      </w:pPr>
    </w:p>
    <w:p w14:paraId="57DD7D32" w14:textId="3C546641" w:rsidR="00E608B5" w:rsidRPr="00E608B5" w:rsidRDefault="00E608B5" w:rsidP="00E608B5">
      <w:pPr>
        <w:tabs>
          <w:tab w:val="left" w:pos="900"/>
        </w:tabs>
        <w:spacing w:after="0" w:line="360" w:lineRule="auto"/>
        <w:rPr>
          <w:rFonts w:ascii="Arial" w:eastAsia="Arial" w:hAnsi="Arial" w:cs="Arial"/>
          <w:sz w:val="24"/>
          <w:szCs w:val="24"/>
          <w:lang w:val="es-419" w:eastAsia="es-419"/>
        </w:rPr>
      </w:pPr>
      <w:r w:rsidRPr="00E608B5">
        <w:rPr>
          <w:rFonts w:ascii="Arial" w:eastAsia="Arial" w:hAnsi="Arial" w:cs="Arial"/>
          <w:sz w:val="24"/>
          <w:szCs w:val="24"/>
          <w:lang w:val="es-419" w:eastAsia="es-419"/>
        </w:rPr>
        <w:t>Durante el período evaluado, el mayor volumen de solicitudes correspondió a los Derechos de Petición de interés general o particular, con treinta y seis (36) registros, equivalentes al 49</w:t>
      </w:r>
      <w:r w:rsidR="00CC102D">
        <w:rPr>
          <w:rFonts w:ascii="Arial" w:eastAsia="Arial" w:hAnsi="Arial" w:cs="Arial"/>
          <w:sz w:val="24"/>
          <w:szCs w:val="24"/>
          <w:lang w:val="es-419" w:eastAsia="es-419"/>
        </w:rPr>
        <w:t>%</w:t>
      </w:r>
      <w:r w:rsidRPr="00E608B5">
        <w:rPr>
          <w:rFonts w:ascii="Arial" w:eastAsia="Arial" w:hAnsi="Arial" w:cs="Arial"/>
          <w:sz w:val="24"/>
          <w:szCs w:val="24"/>
          <w:lang w:val="es-419" w:eastAsia="es-419"/>
        </w:rPr>
        <w:t xml:space="preserve"> del total. Le siguieron las solicitudes de información, con diecisiete (17) registros (23 %), y las solicitudes provenientes de entidades públicas, con once (11) casos (15 %).</w:t>
      </w:r>
    </w:p>
    <w:p w14:paraId="3FB066FF" w14:textId="50FB7377" w:rsidR="00E608B5" w:rsidRPr="00E645AF" w:rsidRDefault="00E608B5" w:rsidP="00E608B5">
      <w:pPr>
        <w:tabs>
          <w:tab w:val="left" w:pos="900"/>
        </w:tabs>
        <w:spacing w:after="0" w:line="360" w:lineRule="auto"/>
        <w:rPr>
          <w:rFonts w:ascii="Arial" w:hAnsi="Arial" w:cs="Arial"/>
          <w:noProof/>
          <w:sz w:val="24"/>
          <w:szCs w:val="24"/>
          <w:lang w:val="es-CO"/>
        </w:rPr>
      </w:pPr>
      <w:r w:rsidRPr="00E645AF">
        <w:rPr>
          <w:rFonts w:ascii="Arial" w:hAnsi="Arial" w:cs="Arial"/>
          <w:noProof/>
          <w:sz w:val="24"/>
          <w:szCs w:val="24"/>
          <w:lang w:val="es-CO"/>
        </w:rPr>
        <w:t xml:space="preserve">De igual forma, durante el mes de abril se atendieron dos (2) peticiones provenientes de entes de control, correspondientes al </w:t>
      </w:r>
      <w:r w:rsidR="00CC102D">
        <w:rPr>
          <w:rFonts w:ascii="Arial" w:hAnsi="Arial" w:cs="Arial"/>
          <w:noProof/>
          <w:sz w:val="24"/>
          <w:szCs w:val="24"/>
          <w:lang w:val="es-CO"/>
        </w:rPr>
        <w:t>3</w:t>
      </w:r>
      <w:r w:rsidRPr="00E645AF">
        <w:rPr>
          <w:rFonts w:ascii="Arial" w:hAnsi="Arial" w:cs="Arial"/>
          <w:noProof/>
          <w:sz w:val="24"/>
          <w:szCs w:val="24"/>
          <w:lang w:val="es-CO"/>
        </w:rPr>
        <w:t xml:space="preserve"> % del total, lo que evidencia el seguimiento y control ejercido sobre la gestión institucional.</w:t>
      </w:r>
      <w:r w:rsidR="00A734BE">
        <w:rPr>
          <w:rFonts w:ascii="Arial" w:hAnsi="Arial" w:cs="Arial"/>
          <w:noProof/>
          <w:sz w:val="24"/>
          <w:szCs w:val="24"/>
          <w:lang w:val="es-CO"/>
        </w:rPr>
        <w:t xml:space="preserve"> </w:t>
      </w:r>
      <w:r w:rsidRPr="00E645AF">
        <w:rPr>
          <w:rFonts w:ascii="Arial" w:hAnsi="Arial" w:cs="Arial"/>
          <w:noProof/>
          <w:sz w:val="24"/>
          <w:szCs w:val="24"/>
          <w:lang w:val="es-CO"/>
        </w:rPr>
        <w:t>Asimismo, se gestionaron cuatro (4) denuncias anónimas (5 %), una (1) solicitud proveniente del Congreso de la República (1 %), una (1) queja (1%) y una (1) consulta (1 %). Esta distribución refleja la diversidad de canales de interacción y de actores que se relacionan con APC-Colombia en el ejercicio de sus funciones.</w:t>
      </w:r>
    </w:p>
    <w:p w14:paraId="6D6C14BC" w14:textId="77777777" w:rsidR="00E608B5" w:rsidRPr="00E645AF" w:rsidRDefault="00E608B5" w:rsidP="00E608B5">
      <w:pPr>
        <w:tabs>
          <w:tab w:val="left" w:pos="900"/>
        </w:tabs>
        <w:spacing w:after="0" w:line="360" w:lineRule="auto"/>
        <w:rPr>
          <w:rFonts w:ascii="Arial" w:hAnsi="Arial" w:cs="Arial"/>
          <w:noProof/>
          <w:sz w:val="24"/>
          <w:szCs w:val="24"/>
          <w:lang w:val="es-CO"/>
        </w:rPr>
      </w:pPr>
      <w:r w:rsidRPr="00E645AF">
        <w:rPr>
          <w:rFonts w:ascii="Arial" w:hAnsi="Arial" w:cs="Arial"/>
          <w:noProof/>
          <w:sz w:val="24"/>
          <w:szCs w:val="24"/>
          <w:lang w:val="es-CO"/>
        </w:rPr>
        <w:t>En materia de oportunidad, se evidencia que la totalidad de las solicitudes fue atendida dentro de los términos establecidos por la normatividad vigente, sin que se presentaran requerimientos con respuestas emitidas con posterioridad a la fecha máxima legal. En consecuencia, se registra un cumplimiento del 100 % en la oportunidad de respuesta durante el período evaluado, resultado que refleja la adecuada gestión de las dependencias responsables y su compromiso con la atención oportuna de las PQRSD.</w:t>
      </w:r>
    </w:p>
    <w:p w14:paraId="4B4B3239" w14:textId="77777777" w:rsidR="00E608B5" w:rsidRPr="00E645AF" w:rsidRDefault="00E608B5" w:rsidP="00E608B5">
      <w:pPr>
        <w:tabs>
          <w:tab w:val="left" w:pos="900"/>
        </w:tabs>
        <w:spacing w:after="0" w:line="360" w:lineRule="auto"/>
        <w:rPr>
          <w:rFonts w:ascii="Arial" w:hAnsi="Arial" w:cs="Arial"/>
          <w:noProof/>
          <w:sz w:val="24"/>
          <w:szCs w:val="24"/>
          <w:lang w:val="es-CO"/>
        </w:rPr>
      </w:pPr>
    </w:p>
    <w:p w14:paraId="666450CD" w14:textId="217A2203" w:rsidR="00E608B5" w:rsidRPr="00E645AF" w:rsidRDefault="00E608B5" w:rsidP="00E608B5">
      <w:pPr>
        <w:tabs>
          <w:tab w:val="left" w:pos="900"/>
        </w:tabs>
        <w:spacing w:after="0" w:line="360" w:lineRule="auto"/>
        <w:rPr>
          <w:rFonts w:ascii="Arial" w:hAnsi="Arial" w:cs="Arial"/>
          <w:noProof/>
          <w:sz w:val="24"/>
          <w:szCs w:val="24"/>
          <w:lang w:val="es-CO"/>
        </w:rPr>
      </w:pPr>
      <w:r w:rsidRPr="00E645AF">
        <w:rPr>
          <w:rFonts w:ascii="Arial" w:hAnsi="Arial" w:cs="Arial"/>
          <w:noProof/>
          <w:sz w:val="24"/>
          <w:szCs w:val="24"/>
          <w:lang w:val="es-CO"/>
        </w:rPr>
        <w:t xml:space="preserve">Cabe resaltar que, en varios casos, las respuestas fueron emitidas con una anticipación significativa respecto al vencimiento del término legal, evidenciando una gestión proactiva y eficiente por parte </w:t>
      </w:r>
      <w:r w:rsidR="0077378A">
        <w:rPr>
          <w:rFonts w:ascii="Arial" w:hAnsi="Arial" w:cs="Arial"/>
          <w:noProof/>
          <w:sz w:val="24"/>
          <w:szCs w:val="24"/>
          <w:lang w:val="es-CO"/>
        </w:rPr>
        <w:t xml:space="preserve">de </w:t>
      </w:r>
      <w:r w:rsidR="00E645AF" w:rsidRPr="00E645AF">
        <w:rPr>
          <w:rFonts w:ascii="Arial" w:hAnsi="Arial" w:cs="Arial"/>
          <w:noProof/>
          <w:sz w:val="24"/>
          <w:szCs w:val="24"/>
          <w:lang w:val="es-CO"/>
        </w:rPr>
        <w:t>las direcciones y grupos internos de trabajo de la Agencia</w:t>
      </w:r>
      <w:r w:rsidRPr="00E645AF">
        <w:rPr>
          <w:rFonts w:ascii="Arial" w:hAnsi="Arial" w:cs="Arial"/>
          <w:noProof/>
          <w:sz w:val="24"/>
          <w:szCs w:val="24"/>
          <w:lang w:val="es-CO"/>
        </w:rPr>
        <w:t>. Esta práctica contribuye al fortalecimiento de la confianza ciudadana, mejora la percepción sobre la calidad del servicio prestado y reafirma el compromiso institucional con los principios de eficacia, celeridad y transparencia en la atención de las solicitudes presentadas por la ciudadanía.</w:t>
      </w:r>
    </w:p>
    <w:p w14:paraId="1020721C" w14:textId="77777777" w:rsidR="00E608B5" w:rsidRPr="00E645AF" w:rsidRDefault="00E608B5" w:rsidP="00E608B5">
      <w:pPr>
        <w:tabs>
          <w:tab w:val="left" w:pos="900"/>
        </w:tabs>
        <w:spacing w:after="0" w:line="360" w:lineRule="auto"/>
        <w:rPr>
          <w:rFonts w:ascii="Arial" w:hAnsi="Arial" w:cs="Arial"/>
          <w:noProof/>
          <w:sz w:val="24"/>
          <w:szCs w:val="24"/>
          <w:lang w:val="es-CO"/>
        </w:rPr>
      </w:pPr>
    </w:p>
    <w:p w14:paraId="78A04D7E" w14:textId="5080C190" w:rsidR="004F4B12" w:rsidRPr="00B447C2" w:rsidRDefault="00E645AF" w:rsidP="00E608B5">
      <w:pPr>
        <w:tabs>
          <w:tab w:val="left" w:pos="900"/>
        </w:tabs>
        <w:spacing w:after="0" w:line="360" w:lineRule="auto"/>
        <w:rPr>
          <w:rFonts w:ascii="Arial" w:eastAsia="Arial" w:hAnsi="Arial" w:cs="Arial"/>
          <w:sz w:val="24"/>
          <w:szCs w:val="24"/>
          <w:lang w:val="es-CO" w:eastAsia="es-419"/>
        </w:rPr>
      </w:pPr>
      <w:r w:rsidRPr="00E645AF">
        <w:rPr>
          <w:rFonts w:ascii="Arial" w:hAnsi="Arial" w:cs="Arial"/>
          <w:noProof/>
          <w:sz w:val="24"/>
          <w:szCs w:val="24"/>
          <w:lang w:val="es-CO"/>
        </w:rPr>
        <w:t>E</w:t>
      </w:r>
      <w:r w:rsidR="00E608B5" w:rsidRPr="00E645AF">
        <w:rPr>
          <w:rFonts w:ascii="Arial" w:hAnsi="Arial" w:cs="Arial"/>
          <w:noProof/>
          <w:sz w:val="24"/>
          <w:szCs w:val="24"/>
          <w:lang w:val="es-CO"/>
        </w:rPr>
        <w:t>l comportamiento registrado durante abril de 2026 evidencia un desempeño favorable en la gestión de las PQRSD, toda vez que la totalidad de los requerimientos fue atendida dentro de los plazos previstos por la normatividad vigente. Lo anterior refleja la efectividad de los</w:t>
      </w:r>
      <w:r w:rsidR="00E608B5" w:rsidRPr="00E608B5">
        <w:rPr>
          <w:rFonts w:ascii="Arial" w:eastAsia="Arial" w:hAnsi="Arial" w:cs="Arial"/>
          <w:sz w:val="24"/>
          <w:szCs w:val="24"/>
          <w:lang w:val="es-419" w:eastAsia="es-419"/>
        </w:rPr>
        <w:t xml:space="preserve"> mecanismos de seguimiento y control implementados por la entidad, así como su compromiso con la mejora continua de la atención al ciudadano.</w:t>
      </w:r>
    </w:p>
    <w:p w14:paraId="13A6A9EA" w14:textId="02DFDADC" w:rsidR="00605F23" w:rsidRDefault="00605F23" w:rsidP="00EA6D72">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 xml:space="preserve">A continuación, se presenta la distribución de las PQRSD recibidas durante el </w:t>
      </w:r>
      <w:r w:rsidR="000D59E1">
        <w:rPr>
          <w:rFonts w:ascii="Arial" w:eastAsia="Arial" w:hAnsi="Arial" w:cs="Arial"/>
          <w:sz w:val="24"/>
          <w:szCs w:val="24"/>
          <w:lang w:val="es-419" w:eastAsia="es-419"/>
        </w:rPr>
        <w:t xml:space="preserve">mes de </w:t>
      </w:r>
      <w:r w:rsidR="00517E8A">
        <w:rPr>
          <w:rFonts w:ascii="Arial" w:eastAsia="Arial" w:hAnsi="Arial" w:cs="Arial"/>
          <w:sz w:val="24"/>
          <w:szCs w:val="24"/>
          <w:lang w:val="es-419" w:eastAsia="es-419"/>
        </w:rPr>
        <w:t xml:space="preserve">abril </w:t>
      </w:r>
      <w:r w:rsidR="007932A1">
        <w:rPr>
          <w:rFonts w:ascii="Arial" w:eastAsia="Arial" w:hAnsi="Arial" w:cs="Arial"/>
          <w:sz w:val="24"/>
          <w:szCs w:val="24"/>
          <w:lang w:val="es-419" w:eastAsia="es-419"/>
        </w:rPr>
        <w:t>202</w:t>
      </w:r>
      <w:r w:rsidR="00E608B5">
        <w:rPr>
          <w:rFonts w:ascii="Arial" w:eastAsia="Arial" w:hAnsi="Arial" w:cs="Arial"/>
          <w:sz w:val="24"/>
          <w:szCs w:val="24"/>
          <w:lang w:val="es-419" w:eastAsia="es-419"/>
        </w:rPr>
        <w:t>6</w:t>
      </w:r>
      <w:r w:rsidRPr="00EA6D72">
        <w:rPr>
          <w:rFonts w:ascii="Arial" w:eastAsia="Arial" w:hAnsi="Arial" w:cs="Arial"/>
          <w:sz w:val="24"/>
          <w:szCs w:val="24"/>
          <w:lang w:val="es-419" w:eastAsia="es-419"/>
        </w:rPr>
        <w:t>:</w:t>
      </w:r>
    </w:p>
    <w:p w14:paraId="18429250" w14:textId="6857E6F7" w:rsidR="005C697F" w:rsidRPr="00231EF1" w:rsidRDefault="00BC03C4" w:rsidP="00BA61A9">
      <w:pPr>
        <w:autoSpaceDE w:val="0"/>
        <w:autoSpaceDN w:val="0"/>
        <w:spacing w:line="360" w:lineRule="auto"/>
        <w:rPr>
          <w:rFonts w:ascii="Arial" w:hAnsi="Arial" w:cs="Arial"/>
          <w:noProof/>
          <w:sz w:val="24"/>
          <w:szCs w:val="24"/>
          <w:lang w:val="es-CO"/>
        </w:rPr>
      </w:pPr>
      <w:r w:rsidRPr="00231EF1">
        <w:rPr>
          <w:rFonts w:ascii="Arial" w:hAnsi="Arial" w:cs="Arial"/>
          <w:noProof/>
          <w:sz w:val="24"/>
          <w:szCs w:val="24"/>
          <w:lang w:val="es-CO"/>
        </w:rPr>
        <w:t>Tabla 1. Tipología de PQRSD</w:t>
      </w:r>
    </w:p>
    <w:p w14:paraId="4911511B" w14:textId="77777777" w:rsidR="008374AA" w:rsidRDefault="00DE5986" w:rsidP="007D50E4">
      <w:pPr>
        <w:tabs>
          <w:tab w:val="left" w:pos="7815"/>
        </w:tabs>
        <w:autoSpaceDE w:val="0"/>
        <w:autoSpaceDN w:val="0"/>
        <w:spacing w:line="360" w:lineRule="auto"/>
        <w:rPr>
          <w:rFonts w:ascii="Arial" w:hAnsi="Arial" w:cs="Arial"/>
          <w:b/>
          <w:noProof/>
          <w:lang w:val="es-CO"/>
        </w:rPr>
      </w:pPr>
      <w:r w:rsidRPr="00A07B71">
        <w:rPr>
          <w:rFonts w:ascii="Arial" w:hAnsi="Arial" w:cs="Arial"/>
          <w:b/>
          <w:noProof/>
          <w:lang w:val="es-CO"/>
        </w:rPr>
        <w:t>TIPOS DE PETICIONES QUE INGRESARON EN</w:t>
      </w:r>
      <w:r w:rsidR="00C15C3D" w:rsidRPr="00A07B71">
        <w:rPr>
          <w:rFonts w:ascii="Arial" w:hAnsi="Arial" w:cs="Arial"/>
          <w:b/>
          <w:noProof/>
          <w:lang w:val="es-CO"/>
        </w:rPr>
        <w:t xml:space="preserve"> </w:t>
      </w:r>
      <w:r w:rsidR="00A07B71">
        <w:rPr>
          <w:rFonts w:ascii="Arial" w:hAnsi="Arial" w:cs="Arial"/>
          <w:b/>
          <w:noProof/>
          <w:lang w:val="es-CO"/>
        </w:rPr>
        <w:t xml:space="preserve">ABRIL </w:t>
      </w:r>
      <w:r w:rsidRPr="00A07B71">
        <w:rPr>
          <w:rFonts w:ascii="Arial" w:hAnsi="Arial" w:cs="Arial"/>
          <w:b/>
          <w:noProof/>
          <w:lang w:val="es-CO"/>
        </w:rPr>
        <w:t>2026</w:t>
      </w:r>
    </w:p>
    <w:tbl>
      <w:tblPr>
        <w:tblpPr w:leftFromText="141" w:rightFromText="141" w:vertAnchor="text" w:horzAnchor="margin" w:tblpY="140"/>
        <w:tblW w:w="9962" w:type="dxa"/>
        <w:shd w:val="clear" w:color="auto" w:fill="F2F2F2" w:themeFill="background1" w:themeFillShade="F2"/>
        <w:tblCellMar>
          <w:left w:w="70" w:type="dxa"/>
          <w:right w:w="70" w:type="dxa"/>
        </w:tblCellMar>
        <w:tblLook w:val="04A0" w:firstRow="1" w:lastRow="0" w:firstColumn="1" w:lastColumn="0" w:noHBand="0" w:noVBand="1"/>
      </w:tblPr>
      <w:tblGrid>
        <w:gridCol w:w="4811"/>
        <w:gridCol w:w="2446"/>
        <w:gridCol w:w="2705"/>
      </w:tblGrid>
      <w:tr w:rsidR="008374AA" w:rsidRPr="009D7339" w14:paraId="6BEA4578" w14:textId="77777777" w:rsidTr="008374AA">
        <w:trPr>
          <w:trHeight w:val="516"/>
        </w:trPr>
        <w:tc>
          <w:tcPr>
            <w:tcW w:w="4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FF836"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TIPOLOGIA</w:t>
            </w:r>
          </w:p>
        </w:tc>
        <w:tc>
          <w:tcPr>
            <w:tcW w:w="24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421BF7"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PQRSD RADICADA</w:t>
            </w:r>
          </w:p>
        </w:tc>
        <w:tc>
          <w:tcPr>
            <w:tcW w:w="270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379F62"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PORCENTAJE PQRSD RADICADAS</w:t>
            </w:r>
          </w:p>
        </w:tc>
      </w:tr>
      <w:tr w:rsidR="008374AA" w:rsidRPr="009D7339" w14:paraId="63D65A86"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7808C1"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Derecho de Petición  de Interés General  y Particular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38F486D7"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36</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17E5BED3"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49%</w:t>
            </w:r>
          </w:p>
        </w:tc>
      </w:tr>
      <w:tr w:rsidR="008374AA" w:rsidRPr="009D7339" w14:paraId="60827472"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15BB786"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Información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269C5849"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17</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56F3C2BB"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23%</w:t>
            </w:r>
          </w:p>
        </w:tc>
      </w:tr>
      <w:tr w:rsidR="008374AA" w:rsidRPr="009D7339" w14:paraId="4049C2B6"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7BA2491"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Entidades Públicas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0B19786A"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11</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6B2D34A6"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15%</w:t>
            </w:r>
          </w:p>
        </w:tc>
      </w:tr>
      <w:tr w:rsidR="008374AA" w:rsidRPr="009D7339" w14:paraId="30162A2E"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BF8413"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Denuncia</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163AC371"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4</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67688729"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5%</w:t>
            </w:r>
          </w:p>
        </w:tc>
      </w:tr>
      <w:tr w:rsidR="008374AA" w:rsidRPr="009D7339" w14:paraId="2BC92BF5"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5CEAF8"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Entes de control </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50AF1824"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2</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683DF411"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3%</w:t>
            </w:r>
          </w:p>
        </w:tc>
      </w:tr>
      <w:tr w:rsidR="008374AA" w:rsidRPr="009D7339" w14:paraId="1F9A321F"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A8328A"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Congreso de la República</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52A7BE7C"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08437989"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r>
      <w:tr w:rsidR="008374AA" w:rsidRPr="009D7339" w14:paraId="2BB9D32D"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818F52"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Consulta</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7A64489A"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74423A0C"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r>
      <w:tr w:rsidR="008374AA" w:rsidRPr="009D7339" w14:paraId="496B6260"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2E71FB8"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Queja</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47B89C6D"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1055DF7C" w14:textId="77777777" w:rsidR="008374AA" w:rsidRPr="009D7339" w:rsidRDefault="008374AA" w:rsidP="008374AA">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p>
        </w:tc>
      </w:tr>
      <w:tr w:rsidR="008374AA" w:rsidRPr="009D7339" w14:paraId="65B078A3" w14:textId="77777777" w:rsidTr="008374AA">
        <w:trPr>
          <w:trHeight w:val="308"/>
        </w:trPr>
        <w:tc>
          <w:tcPr>
            <w:tcW w:w="48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37A9DDE8"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TOTAL</w:t>
            </w:r>
          </w:p>
        </w:tc>
        <w:tc>
          <w:tcPr>
            <w:tcW w:w="2446" w:type="dxa"/>
            <w:tcBorders>
              <w:top w:val="nil"/>
              <w:left w:val="nil"/>
              <w:bottom w:val="single" w:sz="4" w:space="0" w:color="auto"/>
              <w:right w:val="single" w:sz="4" w:space="0" w:color="auto"/>
            </w:tcBorders>
            <w:shd w:val="clear" w:color="auto" w:fill="FDE9D9" w:themeFill="accent6" w:themeFillTint="33"/>
            <w:vAlign w:val="center"/>
            <w:hideMark/>
          </w:tcPr>
          <w:p w14:paraId="0AB2EFBE"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73</w:t>
            </w:r>
          </w:p>
        </w:tc>
        <w:tc>
          <w:tcPr>
            <w:tcW w:w="2705" w:type="dxa"/>
            <w:tcBorders>
              <w:top w:val="nil"/>
              <w:left w:val="nil"/>
              <w:bottom w:val="single" w:sz="4" w:space="0" w:color="auto"/>
              <w:right w:val="single" w:sz="4" w:space="0" w:color="auto"/>
            </w:tcBorders>
            <w:shd w:val="clear" w:color="auto" w:fill="FDE9D9" w:themeFill="accent6" w:themeFillTint="33"/>
            <w:vAlign w:val="center"/>
            <w:hideMark/>
          </w:tcPr>
          <w:p w14:paraId="0DA3F311"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100%</w:t>
            </w:r>
          </w:p>
        </w:tc>
      </w:tr>
    </w:tbl>
    <w:p w14:paraId="2854BB0E" w14:textId="3E10FE86" w:rsidR="00A734BE" w:rsidRDefault="007D50E4" w:rsidP="008374AA">
      <w:pPr>
        <w:tabs>
          <w:tab w:val="left" w:pos="7815"/>
        </w:tabs>
        <w:autoSpaceDE w:val="0"/>
        <w:autoSpaceDN w:val="0"/>
        <w:spacing w:line="360" w:lineRule="auto"/>
        <w:rPr>
          <w:noProof/>
          <w:lang w:val="es-CO"/>
        </w:rPr>
      </w:pPr>
      <w:r>
        <w:rPr>
          <w:rFonts w:ascii="Arial" w:hAnsi="Arial" w:cs="Arial"/>
          <w:b/>
          <w:noProof/>
          <w:lang w:val="es-CO"/>
        </w:rPr>
        <w:tab/>
      </w:r>
      <w:r w:rsidR="00A734BE">
        <w:rPr>
          <w:noProof/>
        </w:rPr>
        <w:drawing>
          <wp:inline distT="0" distB="0" distL="0" distR="0" wp14:anchorId="0B19B93F" wp14:editId="3C2B7C19">
            <wp:extent cx="6515100" cy="2886075"/>
            <wp:effectExtent l="0" t="0" r="0" b="9525"/>
            <wp:docPr id="1064723707" name="Gráfico 1">
              <a:extLst xmlns:a="http://schemas.openxmlformats.org/drawingml/2006/main">
                <a:ext uri="{FF2B5EF4-FFF2-40B4-BE49-F238E27FC236}">
                  <a16:creationId xmlns:a16="http://schemas.microsoft.com/office/drawing/2014/main" id="{A5D3BC40-F2F5-D7A7-6D62-FD855DB95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bookmarkEnd w:id="13"/>
    <w:bookmarkEnd w:id="14"/>
    <w:p w14:paraId="7B5FC2B4" w14:textId="2A2A3650"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w:t>
      </w:r>
      <w:r w:rsidR="009357A2">
        <w:rPr>
          <w:rFonts w:eastAsia="Arial Narrow"/>
          <w:lang w:val="es-CO" w:eastAsia="es-CO" w:bidi="es-ES"/>
        </w:rPr>
        <w:t xml:space="preserve"> </w:t>
      </w:r>
      <w:r w:rsidRPr="009B046D">
        <w:rPr>
          <w:rFonts w:eastAsia="Arial Narrow"/>
          <w:lang w:val="es-CO" w:eastAsia="es-CO" w:bidi="es-ES"/>
        </w:rPr>
        <w:t>Colombia:</w:t>
      </w:r>
    </w:p>
    <w:p w14:paraId="576ABDA3" w14:textId="77777777" w:rsidR="00314ABB" w:rsidRPr="008374AA" w:rsidRDefault="00314ABB" w:rsidP="001B0ACA">
      <w:pPr>
        <w:pStyle w:val="Textoindependiente"/>
        <w:widowControl/>
        <w:spacing w:line="360" w:lineRule="auto"/>
        <w:rPr>
          <w:rFonts w:eastAsia="Arial Narrow"/>
          <w:lang w:val="es-CO" w:eastAsia="es-CO" w:bidi="es-ES"/>
        </w:rPr>
      </w:pPr>
    </w:p>
    <w:p w14:paraId="5DCD0402" w14:textId="18783A8C" w:rsidR="001B0ACA" w:rsidRDefault="00314ABB" w:rsidP="001B0ACA">
      <w:pPr>
        <w:pStyle w:val="Textoindependiente"/>
        <w:widowControl/>
        <w:spacing w:line="360" w:lineRule="auto"/>
        <w:rPr>
          <w:rFonts w:eastAsia="Arial Narrow"/>
          <w:lang w:val="es-CO" w:eastAsia="es-CO" w:bidi="es-ES"/>
        </w:rPr>
      </w:pPr>
      <w:r>
        <w:rPr>
          <w:rFonts w:eastAsia="Arial Narrow"/>
          <w:lang w:val="es-CO" w:eastAsia="es-CO" w:bidi="es-ES"/>
        </w:rPr>
        <w:t>T</w:t>
      </w:r>
      <w:r w:rsidR="001B0ACA" w:rsidRPr="00611381">
        <w:rPr>
          <w:rFonts w:eastAsia="Arial Narrow"/>
          <w:lang w:val="es-CO" w:eastAsia="es-CO" w:bidi="es-ES"/>
        </w:rPr>
        <w:t>abla 2. PQRSD por Direcciones</w:t>
      </w:r>
    </w:p>
    <w:p w14:paraId="64AA1A80" w14:textId="6251B072" w:rsidR="00992A4D" w:rsidRDefault="00992A4D" w:rsidP="001B0ACA">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874A03">
        <w:rPr>
          <w:lang w:val="es-CO" w:bidi="es-ES"/>
        </w:rPr>
        <w:instrText xml:space="preserve">Excel.Sheet.12 "C:\\Users\\MARITZA\\Desktop\\insumos para trabajar a auditoria Puala\\plantilla del informe de PQRSD con el nuevo logo\\INFORMES PQRSD 2026\\INFORME DE PQRSD  MARZO 2026.xlsx" Hoja1!F21C1:F27C2 </w:instrText>
      </w:r>
      <w:r>
        <w:rPr>
          <w:lang w:val="es-CO" w:bidi="es-ES"/>
        </w:rPr>
        <w:instrText xml:space="preserve">\a \f 4 \h  \* MERGEFORMAT </w:instrText>
      </w:r>
      <w:r>
        <w:rPr>
          <w:lang w:val="es-CO" w:bidi="es-ES"/>
        </w:rPr>
        <w:fldChar w:fldCharType="separate"/>
      </w:r>
    </w:p>
    <w:tbl>
      <w:tblPr>
        <w:tblW w:w="9918" w:type="dxa"/>
        <w:tblCellMar>
          <w:left w:w="70" w:type="dxa"/>
          <w:right w:w="70" w:type="dxa"/>
        </w:tblCellMar>
        <w:tblLook w:val="04A0" w:firstRow="1" w:lastRow="0" w:firstColumn="1" w:lastColumn="0" w:noHBand="0" w:noVBand="1"/>
        <w:tblCaption w:val="TABLA CON LA RELACION DE PQRSD DE MARZO 2026  "/>
        <w:tblDescription w:val="&#10;Tabla  donde se informa  el  número de peticiones  que fueron asignadas por el sistema documental Hermes a las cinco direcciones de la Agencia en marzo  2026&#10;"/>
      </w:tblPr>
      <w:tblGrid>
        <w:gridCol w:w="7205"/>
        <w:gridCol w:w="2713"/>
      </w:tblGrid>
      <w:tr w:rsidR="00992A4D" w:rsidRPr="00992A4D" w14:paraId="395A0A77"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22FCFD6A" w14:textId="1590877A"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DIRECCIONES DE APC COLOMBIA</w:t>
            </w:r>
          </w:p>
        </w:tc>
        <w:tc>
          <w:tcPr>
            <w:tcW w:w="271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E929B3B" w14:textId="77777777"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No  DE PQRSD</w:t>
            </w:r>
          </w:p>
        </w:tc>
      </w:tr>
      <w:tr w:rsidR="00992A4D" w:rsidRPr="00992A4D" w14:paraId="0762888C"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E503D83"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COORDINACIÓN INTERINSTITUCIONAL DE COOPERACIÓN</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754B2F6" w14:textId="5BFA8FDB"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3</w:t>
            </w:r>
            <w:r w:rsidR="00F00FF6">
              <w:rPr>
                <w:rFonts w:ascii="Calibri" w:eastAsia="Times New Roman" w:hAnsi="Calibri" w:cs="Calibri"/>
                <w:color w:val="000000"/>
                <w:lang w:val="es-CO"/>
              </w:rPr>
              <w:t>9</w:t>
            </w:r>
          </w:p>
        </w:tc>
      </w:tr>
      <w:tr w:rsidR="00992A4D" w:rsidRPr="00992A4D" w14:paraId="353A0417"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6A1D1C07"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ADMINISTRATIVA Y FINANCIERA</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9C92915" w14:textId="6FD52408" w:rsidR="00992A4D" w:rsidRPr="00992A4D" w:rsidRDefault="00F00FF6" w:rsidP="00992A4D">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11</w:t>
            </w:r>
          </w:p>
        </w:tc>
      </w:tr>
      <w:tr w:rsidR="00992A4D" w:rsidRPr="00992A4D" w14:paraId="67C71166"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DBBAAC5"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GESTIÓN DE DEMANDA DE COOPERACIÓN INTERNACIONAL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392F4D2" w14:textId="05E2235D" w:rsidR="00992A4D" w:rsidRPr="00992A4D" w:rsidRDefault="00F00FF6" w:rsidP="00992A4D">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11</w:t>
            </w:r>
          </w:p>
        </w:tc>
      </w:tr>
      <w:tr w:rsidR="00992A4D" w:rsidRPr="00992A4D" w14:paraId="555545F1"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5AF372A9"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OFERTA DE COOPERACIÓN INTERNACIONAL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88299DB" w14:textId="1893DFEB" w:rsidR="00992A4D" w:rsidRPr="00992A4D" w:rsidRDefault="00F00FF6" w:rsidP="00992A4D">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9</w:t>
            </w:r>
          </w:p>
        </w:tc>
      </w:tr>
      <w:tr w:rsidR="00992A4D" w:rsidRPr="00992A4D" w14:paraId="6B485C98"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3691128"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GENERAL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30C406DF" w14:textId="77777777" w:rsidR="00992A4D" w:rsidRPr="00992A4D" w:rsidRDefault="00992A4D" w:rsidP="00992A4D">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3</w:t>
            </w:r>
          </w:p>
        </w:tc>
      </w:tr>
      <w:tr w:rsidR="00992A4D" w:rsidRPr="00992A4D" w14:paraId="16799D83"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2152D47" w14:textId="1C354577" w:rsidR="00992A4D" w:rsidRPr="00992A4D" w:rsidRDefault="00F00FF6" w:rsidP="00992A4D">
            <w:pPr>
              <w:spacing w:after="0" w:line="240" w:lineRule="auto"/>
              <w:rPr>
                <w:rFonts w:ascii="Calibri" w:eastAsia="Times New Roman" w:hAnsi="Calibri" w:cs="Calibri"/>
                <w:b/>
                <w:bCs/>
                <w:color w:val="FFFFFF"/>
                <w:lang w:val="es-CO"/>
              </w:rPr>
            </w:pPr>
            <w:r w:rsidRPr="00992A4D">
              <w:rPr>
                <w:rFonts w:ascii="Calibri" w:eastAsia="Times New Roman" w:hAnsi="Calibri" w:cs="Calibri"/>
                <w:b/>
                <w:bCs/>
                <w:color w:val="FFFFFF"/>
                <w:lang w:val="es-CO"/>
              </w:rPr>
              <w:t>Total,</w:t>
            </w:r>
            <w:r w:rsidR="00992A4D" w:rsidRPr="00992A4D">
              <w:rPr>
                <w:rFonts w:ascii="Calibri" w:eastAsia="Times New Roman" w:hAnsi="Calibri" w:cs="Calibri"/>
                <w:b/>
                <w:bCs/>
                <w:color w:val="FFFFFF"/>
                <w:lang w:val="es-CO"/>
              </w:rPr>
              <w:t xml:space="preserve"> general</w:t>
            </w:r>
          </w:p>
        </w:tc>
        <w:tc>
          <w:tcPr>
            <w:tcW w:w="271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1176D297" w14:textId="518715C7" w:rsidR="00992A4D" w:rsidRPr="00992A4D" w:rsidRDefault="00F00FF6" w:rsidP="00992A4D">
            <w:pPr>
              <w:spacing w:after="0" w:line="240" w:lineRule="auto"/>
              <w:jc w:val="right"/>
              <w:rPr>
                <w:rFonts w:ascii="Calibri" w:eastAsia="Times New Roman" w:hAnsi="Calibri" w:cs="Calibri"/>
                <w:b/>
                <w:bCs/>
                <w:color w:val="FFFFFF"/>
                <w:lang w:val="es-CO"/>
              </w:rPr>
            </w:pPr>
            <w:r>
              <w:rPr>
                <w:rFonts w:ascii="Calibri" w:eastAsia="Times New Roman" w:hAnsi="Calibri" w:cs="Calibri"/>
                <w:b/>
                <w:bCs/>
                <w:color w:val="FFFFFF"/>
                <w:lang w:val="es-CO"/>
              </w:rPr>
              <w:t>73</w:t>
            </w:r>
          </w:p>
        </w:tc>
      </w:tr>
    </w:tbl>
    <w:p w14:paraId="66CDE4FD" w14:textId="55F83412" w:rsidR="00992A4D" w:rsidRDefault="00992A4D" w:rsidP="00F00FF6">
      <w:pPr>
        <w:pStyle w:val="Textoindependiente"/>
        <w:widowControl/>
        <w:tabs>
          <w:tab w:val="left" w:pos="1530"/>
        </w:tabs>
        <w:spacing w:line="360" w:lineRule="auto"/>
        <w:rPr>
          <w:noProof/>
          <w:lang w:val="es-CO" w:eastAsia="es-CO"/>
        </w:rPr>
      </w:pPr>
      <w:r>
        <w:rPr>
          <w:rFonts w:eastAsia="Arial Narrow"/>
          <w:lang w:val="es-CO" w:eastAsia="es-CO" w:bidi="es-ES"/>
        </w:rPr>
        <w:fldChar w:fldCharType="end"/>
      </w:r>
      <w:r w:rsidR="00A734BE" w:rsidRPr="00A734BE">
        <w:rPr>
          <w:noProof/>
          <w:lang w:val="es-CO" w:eastAsia="es-CO"/>
        </w:rPr>
        <w:t xml:space="preserve"> </w:t>
      </w:r>
      <w:r w:rsidR="00F00FF6">
        <w:rPr>
          <w:noProof/>
          <w:lang w:val="es-CO" w:eastAsia="es-CO"/>
        </w:rPr>
        <w:tab/>
      </w:r>
    </w:p>
    <w:p w14:paraId="4C57822C" w14:textId="77777777" w:rsidR="00F00FF6" w:rsidRDefault="00F00FF6" w:rsidP="00F00FF6">
      <w:pPr>
        <w:pStyle w:val="Textoindependiente"/>
        <w:widowControl/>
        <w:tabs>
          <w:tab w:val="left" w:pos="1530"/>
        </w:tabs>
        <w:spacing w:line="360" w:lineRule="auto"/>
        <w:rPr>
          <w:rFonts w:eastAsia="Arial Narrow"/>
          <w:lang w:val="es-CO" w:eastAsia="es-CO" w:bidi="es-ES"/>
        </w:rPr>
      </w:pPr>
    </w:p>
    <w:p w14:paraId="3285A13A" w14:textId="7274A99D" w:rsidR="00A734BE" w:rsidRDefault="00F00FF6" w:rsidP="00A734BE">
      <w:pPr>
        <w:pStyle w:val="Textoindependiente"/>
        <w:widowControl/>
        <w:tabs>
          <w:tab w:val="left" w:pos="900"/>
        </w:tabs>
        <w:spacing w:line="360" w:lineRule="auto"/>
        <w:rPr>
          <w:rFonts w:eastAsia="Arial Narrow"/>
          <w:lang w:val="es-CO" w:eastAsia="es-CO" w:bidi="es-ES"/>
        </w:rPr>
      </w:pPr>
      <w:r>
        <w:rPr>
          <w:noProof/>
        </w:rPr>
        <w:drawing>
          <wp:inline distT="0" distB="0" distL="0" distR="0" wp14:anchorId="009BCF8B" wp14:editId="752B8C0C">
            <wp:extent cx="6332220" cy="2755265"/>
            <wp:effectExtent l="0" t="0" r="11430" b="6985"/>
            <wp:docPr id="1429289536" name="Gráfico 1">
              <a:extLst xmlns:a="http://schemas.openxmlformats.org/drawingml/2006/main">
                <a:ext uri="{FF2B5EF4-FFF2-40B4-BE49-F238E27FC236}">
                  <a16:creationId xmlns:a16="http://schemas.microsoft.com/office/drawing/2014/main" id="{DB6609FA-9A8D-C8CF-57F6-947C6132E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B563CE" w14:textId="32C265B5" w:rsidR="002D597F" w:rsidRDefault="00A734BE" w:rsidP="00A734BE">
      <w:pPr>
        <w:pStyle w:val="Textoindependiente"/>
        <w:widowControl/>
        <w:tabs>
          <w:tab w:val="left" w:pos="900"/>
        </w:tabs>
        <w:spacing w:line="360" w:lineRule="auto"/>
        <w:rPr>
          <w:rFonts w:eastAsia="Arial Narrow"/>
          <w:lang w:val="es-CO" w:eastAsia="es-CO" w:bidi="es-ES"/>
        </w:rPr>
      </w:pPr>
      <w:r>
        <w:rPr>
          <w:rFonts w:eastAsia="Arial Narrow"/>
          <w:lang w:val="es-CO" w:eastAsia="es-CO" w:bidi="es-ES"/>
        </w:rPr>
        <w:tab/>
      </w:r>
    </w:p>
    <w:p w14:paraId="5F5DB8DB" w14:textId="066CB875" w:rsidR="00C5308A" w:rsidRP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Así mismo, durante el periodo evaluado, la Dirección de Coordinación Interinstitucional de Cooperación, a través del Sistema de Gestión de Documentos Electrónicos de Archivo Digital HERMES, un total de</w:t>
      </w:r>
      <w:r w:rsidR="00A2789B">
        <w:rPr>
          <w:rFonts w:ascii="Arial" w:eastAsia="Arial" w:hAnsi="Arial" w:cs="Arial"/>
          <w:sz w:val="24"/>
          <w:szCs w:val="24"/>
          <w:lang w:val="es-CO" w:eastAsia="es-419"/>
        </w:rPr>
        <w:t xml:space="preserve"> cinco</w:t>
      </w:r>
      <w:r w:rsidR="000C2DAE">
        <w:rPr>
          <w:rFonts w:ascii="Arial" w:eastAsia="Arial" w:hAnsi="Arial" w:cs="Arial"/>
          <w:sz w:val="24"/>
          <w:szCs w:val="24"/>
          <w:lang w:val="es-CO" w:eastAsia="es-419"/>
        </w:rPr>
        <w:t xml:space="preserve"> </w:t>
      </w:r>
      <w:r w:rsidRPr="00C5308A">
        <w:rPr>
          <w:rFonts w:ascii="Arial" w:eastAsia="Arial" w:hAnsi="Arial" w:cs="Arial"/>
          <w:sz w:val="24"/>
          <w:szCs w:val="24"/>
          <w:lang w:val="es-CO" w:eastAsia="es-419"/>
        </w:rPr>
        <w:t>(</w:t>
      </w:r>
      <w:r w:rsidR="00A2789B">
        <w:rPr>
          <w:rFonts w:ascii="Arial" w:eastAsia="Arial" w:hAnsi="Arial" w:cs="Arial"/>
          <w:sz w:val="24"/>
          <w:szCs w:val="24"/>
          <w:lang w:val="es-CO" w:eastAsia="es-419"/>
        </w:rPr>
        <w:t>5</w:t>
      </w:r>
      <w:r w:rsidRPr="00C5308A">
        <w:rPr>
          <w:rFonts w:ascii="Arial" w:eastAsia="Arial" w:hAnsi="Arial" w:cs="Arial"/>
          <w:sz w:val="24"/>
          <w:szCs w:val="24"/>
          <w:lang w:val="es-CO" w:eastAsia="es-419"/>
        </w:rPr>
        <w:t xml:space="preserve">) traslados por competencia, como se detalla en la siguiente tabla. Dichos traslados corresponden a solicitudes cuyos asuntos </w:t>
      </w:r>
      <w:r w:rsidR="00CC6B25" w:rsidRPr="00CC6B25">
        <w:rPr>
          <w:rFonts w:ascii="Arial" w:eastAsia="Arial" w:hAnsi="Arial" w:cs="Arial"/>
          <w:sz w:val="24"/>
          <w:szCs w:val="24"/>
          <w:lang w:val="es-CO" w:eastAsia="es-419"/>
        </w:rPr>
        <w:t>no se encontraban dentro de las funciones de la entidad.</w:t>
      </w:r>
    </w:p>
    <w:p w14:paraId="49F020E3" w14:textId="77777777" w:rsidR="00C5308A" w:rsidRPr="00C5308A" w:rsidRDefault="00C5308A" w:rsidP="00C5308A">
      <w:pPr>
        <w:spacing w:after="0" w:line="360" w:lineRule="auto"/>
        <w:rPr>
          <w:rFonts w:ascii="Arial" w:eastAsia="Arial" w:hAnsi="Arial" w:cs="Arial"/>
          <w:sz w:val="24"/>
          <w:szCs w:val="24"/>
          <w:lang w:val="es-CO" w:eastAsia="es-419"/>
        </w:rPr>
      </w:pPr>
    </w:p>
    <w:p w14:paraId="5F732860" w14:textId="77777777" w:rsid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Lo anterior se llevó a cabo en cumplimiento de lo dispuesto en el artículo 21 de la Ley 1755 de 2015, el cual establece que, cuando una autoridad no sea competente para resolver una petición, deberá remitirla a la entidad competente dentro de los cinco (5) días siguientes e informar al peticionario sobre dicho traslado.</w:t>
      </w:r>
    </w:p>
    <w:p w14:paraId="1462361A" w14:textId="77777777" w:rsidR="007D4FE0" w:rsidRDefault="007D4FE0" w:rsidP="00C5308A">
      <w:pPr>
        <w:spacing w:after="0" w:line="360" w:lineRule="auto"/>
        <w:rPr>
          <w:rFonts w:ascii="Arial" w:eastAsia="Arial" w:hAnsi="Arial" w:cs="Arial"/>
          <w:sz w:val="24"/>
          <w:szCs w:val="24"/>
          <w:lang w:val="es-CO" w:eastAsia="es-419"/>
        </w:rPr>
      </w:pPr>
    </w:p>
    <w:p w14:paraId="33CD4CE4" w14:textId="3B71A675" w:rsidR="007D4FE0" w:rsidRDefault="004B03B7" w:rsidP="00C5308A">
      <w:pPr>
        <w:spacing w:after="0" w:line="360" w:lineRule="auto"/>
        <w:rPr>
          <w:rFonts w:ascii="Arial" w:eastAsia="Arial" w:hAnsi="Arial" w:cs="Arial"/>
          <w:sz w:val="24"/>
          <w:szCs w:val="24"/>
          <w:lang w:val="es-CO" w:eastAsia="es-419"/>
        </w:rPr>
      </w:pPr>
      <w:r>
        <w:rPr>
          <w:noProof/>
        </w:rPr>
        <w:drawing>
          <wp:inline distT="0" distB="0" distL="0" distR="0" wp14:anchorId="120BA987" wp14:editId="77C90A57">
            <wp:extent cx="6332220" cy="3002280"/>
            <wp:effectExtent l="0" t="0" r="11430" b="7620"/>
            <wp:docPr id="1408126410" name="Gráfico 1">
              <a:extLst xmlns:a="http://schemas.openxmlformats.org/drawingml/2006/main">
                <a:ext uri="{FF2B5EF4-FFF2-40B4-BE49-F238E27FC236}">
                  <a16:creationId xmlns:a16="http://schemas.microsoft.com/office/drawing/2014/main" id="{90112B3F-47EC-4B5C-A29B-BBB30D0AFC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95EF05" w14:textId="25753AC4" w:rsidR="007D4FE0" w:rsidRDefault="007D4FE0" w:rsidP="00C5308A">
      <w:pPr>
        <w:spacing w:after="0" w:line="360" w:lineRule="auto"/>
        <w:rPr>
          <w:rFonts w:ascii="Arial" w:eastAsia="Arial" w:hAnsi="Arial" w:cs="Arial"/>
          <w:sz w:val="24"/>
          <w:szCs w:val="24"/>
          <w:lang w:val="es-CO" w:eastAsia="es-419"/>
        </w:rPr>
      </w:pPr>
    </w:p>
    <w:p w14:paraId="009B77BB" w14:textId="77777777" w:rsidR="004B03B7" w:rsidRDefault="004B03B7" w:rsidP="00C5308A">
      <w:pPr>
        <w:spacing w:after="0" w:line="360" w:lineRule="auto"/>
        <w:rPr>
          <w:rFonts w:ascii="Arial" w:eastAsia="Arial" w:hAnsi="Arial" w:cs="Arial"/>
          <w:sz w:val="24"/>
          <w:szCs w:val="24"/>
          <w:lang w:val="es-CO" w:eastAsia="es-419"/>
        </w:rPr>
      </w:pPr>
    </w:p>
    <w:p w14:paraId="717F291D" w14:textId="77777777" w:rsidR="007D4FE0" w:rsidRPr="00C5308A" w:rsidRDefault="007D4FE0" w:rsidP="00C5308A">
      <w:pPr>
        <w:spacing w:after="0" w:line="360" w:lineRule="auto"/>
        <w:rPr>
          <w:rFonts w:ascii="Arial" w:eastAsia="Arial" w:hAnsi="Arial" w:cs="Arial"/>
          <w:sz w:val="24"/>
          <w:szCs w:val="24"/>
          <w:lang w:val="es-CO" w:eastAsia="es-419"/>
        </w:rPr>
      </w:pP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5" w:name="_Hlk202673236"/>
    </w:p>
    <w:p w14:paraId="37177F50" w14:textId="2D7AE773" w:rsidR="00EC2345" w:rsidRDefault="00611D18" w:rsidP="002C7956">
      <w:pPr>
        <w:tabs>
          <w:tab w:val="left" w:pos="0"/>
        </w:tabs>
        <w:spacing w:after="0" w:line="360" w:lineRule="auto"/>
        <w:rPr>
          <w:rFonts w:ascii="Arial" w:eastAsia="Arial Narrow" w:hAnsi="Arial" w:cs="Arial"/>
          <w:sz w:val="24"/>
          <w:szCs w:val="24"/>
          <w:lang w:val="es-CO" w:bidi="es-ES"/>
        </w:rPr>
      </w:pPr>
      <w:r w:rsidRPr="00611D18">
        <w:rPr>
          <w:rFonts w:ascii="Arial" w:eastAsia="Arial Narrow" w:hAnsi="Arial" w:cs="Arial"/>
          <w:sz w:val="24"/>
          <w:szCs w:val="24"/>
          <w:lang w:val="es-CO" w:bidi="es-ES"/>
        </w:rPr>
        <w:t>Con el fin de fortalecer la atención a la ciudadanía, promover la transparencia institucional y optimizar la eficiencia en la gestión de las Peticiones, Quejas, Reclamos, Sugerencias y Denuncias (PQRSD), se presentan las siguientes recomendaciones dirigidas a las direcciones y grupos internos de trabajo de APC</w:t>
      </w:r>
      <w:r w:rsidR="009357A2">
        <w:rPr>
          <w:rFonts w:ascii="Arial" w:eastAsia="Arial Narrow" w:hAnsi="Arial" w:cs="Arial"/>
          <w:sz w:val="24"/>
          <w:szCs w:val="24"/>
          <w:lang w:val="es-CO" w:bidi="es-ES"/>
        </w:rPr>
        <w:t xml:space="preserve"> </w:t>
      </w:r>
      <w:r w:rsidRPr="00611D18">
        <w:rPr>
          <w:rFonts w:ascii="Arial" w:eastAsia="Arial Narrow" w:hAnsi="Arial" w:cs="Arial"/>
          <w:sz w:val="24"/>
          <w:szCs w:val="24"/>
          <w:lang w:val="es-CO" w:bidi="es-ES"/>
        </w:rPr>
        <w:t>Colombia:</w:t>
      </w:r>
    </w:p>
    <w:p w14:paraId="59D2903A" w14:textId="5DB99ED7" w:rsidR="00611D18" w:rsidRDefault="00611D18" w:rsidP="002C7956">
      <w:pPr>
        <w:tabs>
          <w:tab w:val="left" w:pos="0"/>
        </w:tabs>
        <w:spacing w:after="0" w:line="360" w:lineRule="auto"/>
        <w:rPr>
          <w:rFonts w:ascii="Arial" w:eastAsia="Arial Narrow" w:hAnsi="Arial" w:cs="Arial"/>
          <w:sz w:val="24"/>
          <w:szCs w:val="24"/>
          <w:lang w:val="es-CO" w:bidi="es-ES"/>
        </w:rPr>
      </w:pPr>
    </w:p>
    <w:p w14:paraId="3BB41DFF" w14:textId="5AEE57B5" w:rsidR="00F33082" w:rsidRDefault="00F33082" w:rsidP="00986458">
      <w:pPr>
        <w:pStyle w:val="Prrafodelista"/>
        <w:numPr>
          <w:ilvl w:val="0"/>
          <w:numId w:val="3"/>
        </w:numPr>
        <w:autoSpaceDE w:val="0"/>
        <w:autoSpaceDN w:val="0"/>
        <w:spacing w:line="360" w:lineRule="auto"/>
        <w:rPr>
          <w:rFonts w:ascii="Arial" w:eastAsia="Arial Narrow" w:hAnsi="Arial" w:cs="Arial"/>
          <w:sz w:val="24"/>
          <w:szCs w:val="24"/>
          <w:lang w:val="es-CO" w:bidi="es-ES"/>
        </w:rPr>
      </w:pPr>
      <w:bookmarkStart w:id="16" w:name="_Toc140836096"/>
      <w:bookmarkStart w:id="17" w:name="_Toc179234616"/>
      <w:r w:rsidRPr="00F33082">
        <w:rPr>
          <w:rFonts w:ascii="Arial" w:eastAsia="Arial Narrow" w:hAnsi="Arial" w:cs="Arial"/>
          <w:sz w:val="24"/>
          <w:szCs w:val="24"/>
          <w:lang w:val="es-CO" w:bidi="es-ES"/>
        </w:rPr>
        <w:t>Dar respuesta a las PQRSD con la debida anticipación al vencimiento de los términos legales establecidos en la Ley 1755 de 2015 y en la Resolución 239 de 2022, evitando atenderlas el último día del plazo. Esta práctica permite prevenir eventuales inconvenientes jurídicos y técnicos, como fallas operativas o caídas del Sistema de Gestión de Documentos Electrónicos de Archivo Digital HERMES, que puedan dificultar el envío oportuno de las respuestas y generar riesgos de incumplimiento para la entidad.</w:t>
      </w:r>
    </w:p>
    <w:p w14:paraId="54653837" w14:textId="7A982A8E" w:rsidR="00F92E83" w:rsidRPr="00B829FB" w:rsidRDefault="005A7AF3" w:rsidP="001E5DA1">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829FB">
        <w:rPr>
          <w:rFonts w:ascii="Arial" w:eastAsia="Arial Narrow" w:hAnsi="Arial" w:cs="Arial"/>
          <w:sz w:val="24"/>
          <w:szCs w:val="24"/>
          <w:lang w:val="es-CO" w:bidi="es-ES"/>
        </w:rPr>
        <w:t xml:space="preserve"> </w:t>
      </w:r>
      <w:r w:rsidR="00FA4F4B" w:rsidRPr="00B829FB">
        <w:rPr>
          <w:rFonts w:ascii="Arial" w:eastAsia="Arial Narrow" w:hAnsi="Arial" w:cs="Arial"/>
          <w:sz w:val="24"/>
          <w:szCs w:val="24"/>
          <w:lang w:val="es-CO" w:bidi="es-ES"/>
        </w:rPr>
        <w:t>Fortalecer</w:t>
      </w:r>
      <w:r w:rsidR="00F92E83" w:rsidRPr="00B829FB">
        <w:rPr>
          <w:rFonts w:ascii="Arial" w:eastAsia="Arial Narrow" w:hAnsi="Arial" w:cs="Arial"/>
          <w:sz w:val="24"/>
          <w:szCs w:val="24"/>
          <w:lang w:val="es-CO" w:bidi="es-ES"/>
        </w:rPr>
        <w:t xml:space="preserve"> los niveles de exigencia en los tiempos de respuesta al interior de las direcciones y grupos internos de trabajo, estableciendo metas internas más estrictas que los plazos legales definidos en la Ley 1755 de 2015; por ejemplo, que las respuestas a los derechos de petición, cuyo término es de 15 días, se gestionen y finalicen antes de dicho plazo, dejando un margen de anticipación que permita mayor oportunidad y calidad en la atención.</w:t>
      </w:r>
    </w:p>
    <w:p w14:paraId="1AF07199" w14:textId="38739AD7" w:rsidR="00A37231" w:rsidRPr="004E3C40" w:rsidRDefault="00F92E83" w:rsidP="00132C3C">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F92E83">
        <w:rPr>
          <w:rFonts w:ascii="Arial" w:eastAsia="Arial Narrow" w:hAnsi="Arial" w:cs="Arial"/>
          <w:sz w:val="24"/>
          <w:szCs w:val="24"/>
          <w:lang w:val="es-CO" w:bidi="es-ES"/>
        </w:rPr>
        <w:t>Se recomienda a las direcciones y grupos internos de trabajo que, en caso de que el líder del proceso no cuente con firma digital, se imprima el documento, se gestione la firma manuscrita y se remita la respuesta al ciudadano por correo electrónico. Una vez enviada la comunicación, se deberá cargar en HERMES toda la evidencia de las actuaciones realizadas, con el fin de proceder al cierre de la petición.</w:t>
      </w:r>
    </w:p>
    <w:p w14:paraId="6D274192" w14:textId="5800ACBD" w:rsidR="00F92E83" w:rsidRDefault="009463F4" w:rsidP="005A7AF3">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9463F4">
        <w:rPr>
          <w:rFonts w:ascii="Arial" w:eastAsia="Arial Narrow" w:hAnsi="Arial" w:cs="Arial"/>
          <w:sz w:val="24"/>
          <w:szCs w:val="24"/>
          <w:lang w:val="es-CO" w:bidi="es-ES"/>
        </w:rPr>
        <w:t xml:space="preserve">Continuar </w:t>
      </w:r>
      <w:r>
        <w:rPr>
          <w:rFonts w:ascii="Arial" w:eastAsia="Arial Narrow" w:hAnsi="Arial" w:cs="Arial"/>
          <w:sz w:val="24"/>
          <w:szCs w:val="24"/>
          <w:lang w:val="es-CO" w:bidi="es-ES"/>
        </w:rPr>
        <w:t xml:space="preserve">con </w:t>
      </w:r>
      <w:r w:rsidRPr="009463F4">
        <w:rPr>
          <w:rFonts w:ascii="Arial" w:eastAsia="Arial Narrow" w:hAnsi="Arial" w:cs="Arial"/>
          <w:sz w:val="24"/>
          <w:szCs w:val="24"/>
          <w:lang w:val="es-CO" w:bidi="es-ES"/>
        </w:rPr>
        <w:t>el seguimiento permanente a las solicitudes asignadas a cada dirección y grupo interno de trabajo, mediante la revisión periódica de las alertas y notificaciones generadas por el Sistema de Gestión de Documentos Electrónicos de Archivo Digital HERMES</w:t>
      </w:r>
      <w:r>
        <w:rPr>
          <w:rFonts w:ascii="Arial" w:eastAsia="Arial Narrow" w:hAnsi="Arial" w:cs="Arial"/>
          <w:sz w:val="24"/>
          <w:szCs w:val="24"/>
          <w:lang w:val="es-CO" w:bidi="es-ES"/>
        </w:rPr>
        <w:t>.</w:t>
      </w:r>
    </w:p>
    <w:p w14:paraId="19202B5D" w14:textId="00179413" w:rsidR="005A7AF3" w:rsidRDefault="009463F4" w:rsidP="005A7AF3">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9463F4">
        <w:rPr>
          <w:rFonts w:ascii="Arial" w:eastAsia="Arial Narrow" w:hAnsi="Arial" w:cs="Arial"/>
          <w:sz w:val="24"/>
          <w:szCs w:val="24"/>
          <w:lang w:val="es-CO" w:bidi="es-ES"/>
        </w:rPr>
        <w:t>Mantener la articulación entre las direcciones y grupos internos de trabajo responsables de la atención de las PQRSD, con el propósito de garantizar respuestas integrales, oportunas y de calidad a los ciudadanos y grupos de valor.</w:t>
      </w:r>
    </w:p>
    <w:p w14:paraId="5CC838E9" w14:textId="77777777" w:rsidR="009463F4" w:rsidRPr="009463F4" w:rsidRDefault="00FA4F4B" w:rsidP="009463F4">
      <w:pPr>
        <w:pStyle w:val="Prrafodelista"/>
        <w:numPr>
          <w:ilvl w:val="0"/>
          <w:numId w:val="3"/>
        </w:numPr>
        <w:autoSpaceDE w:val="0"/>
        <w:autoSpaceDN w:val="0"/>
        <w:adjustRightInd w:val="0"/>
        <w:spacing w:after="0" w:line="360" w:lineRule="auto"/>
        <w:rPr>
          <w:rFonts w:ascii="Arial" w:hAnsi="Arial" w:cs="Arial"/>
          <w:sz w:val="24"/>
          <w:szCs w:val="24"/>
          <w:lang w:val="es-CO"/>
        </w:rPr>
      </w:pPr>
      <w:r w:rsidRPr="00A37231">
        <w:rPr>
          <w:rFonts w:ascii="Arial" w:eastAsia="Arial Narrow" w:hAnsi="Arial" w:cs="Arial"/>
          <w:sz w:val="24"/>
          <w:szCs w:val="24"/>
          <w:lang w:val="es-CO" w:bidi="es-ES"/>
        </w:rPr>
        <w:t xml:space="preserve">Se reitera a los colaboradores de la Agencia, responsables de dar respuesta a las PQRSD de nuestros ciudadanos y grupos de interés, </w:t>
      </w:r>
      <w:r w:rsidR="009463F4">
        <w:rPr>
          <w:rFonts w:ascii="Arial" w:eastAsia="Arial Narrow" w:hAnsi="Arial" w:cs="Arial"/>
          <w:sz w:val="24"/>
          <w:szCs w:val="24"/>
          <w:lang w:val="es-CO" w:bidi="es-ES"/>
        </w:rPr>
        <w:t>v</w:t>
      </w:r>
      <w:r w:rsidR="009463F4" w:rsidRPr="009463F4">
        <w:rPr>
          <w:rFonts w:ascii="Arial" w:eastAsia="Arial Narrow" w:hAnsi="Arial" w:cs="Arial"/>
          <w:sz w:val="24"/>
          <w:szCs w:val="24"/>
          <w:lang w:val="es-CO" w:bidi="es-ES"/>
        </w:rPr>
        <w:t>erificar que las respuestas emitidas sean claras, completas y de fondo, atendiendo la totalidad de los requerimientos formulados por el ciudadano y utilizando lenguaje claro que facilite su comprensión.</w:t>
      </w:r>
    </w:p>
    <w:p w14:paraId="5888151E" w14:textId="0A73B082" w:rsidR="00C33B6B" w:rsidRPr="00C33B6B" w:rsidRDefault="00FA4F4B" w:rsidP="00040A6F">
      <w:pPr>
        <w:pStyle w:val="Prrafodelista"/>
        <w:numPr>
          <w:ilvl w:val="0"/>
          <w:numId w:val="3"/>
        </w:numPr>
        <w:tabs>
          <w:tab w:val="left" w:pos="0"/>
        </w:tabs>
        <w:spacing w:after="0" w:line="360" w:lineRule="auto"/>
        <w:rPr>
          <w:rFonts w:ascii="Arial" w:hAnsi="Arial" w:cs="Arial"/>
          <w:sz w:val="24"/>
          <w:szCs w:val="24"/>
          <w:lang w:val="es-CO"/>
        </w:rPr>
      </w:pPr>
      <w:r w:rsidRPr="00FA4F4B">
        <w:rPr>
          <w:rFonts w:ascii="Arial" w:hAnsi="Arial" w:cs="Arial"/>
          <w:sz w:val="24"/>
          <w:szCs w:val="24"/>
          <w:lang w:val="es-CO"/>
        </w:rPr>
        <w:t xml:space="preserve"> Se recomienda a todas las direcciones y grupos internos de trabajo responsables de la gestión de PQRSD que, al emitir respuestas relacionadas con un radicado principal (por ejemplo, PQRSD2</w:t>
      </w:r>
      <w:r>
        <w:rPr>
          <w:rFonts w:ascii="Arial" w:hAnsi="Arial" w:cs="Arial"/>
          <w:sz w:val="24"/>
          <w:szCs w:val="24"/>
          <w:lang w:val="es-CO"/>
        </w:rPr>
        <w:t>6</w:t>
      </w:r>
      <w:r w:rsidRPr="00FA4F4B">
        <w:rPr>
          <w:rFonts w:ascii="Arial" w:hAnsi="Arial" w:cs="Arial"/>
          <w:sz w:val="24"/>
          <w:szCs w:val="24"/>
          <w:lang w:val="es-CO"/>
        </w:rPr>
        <w:t>-0000000), aseguren su correcta asociación al expediente correspondiente. Esta medida busca garantizar la trazabilidad completa del trámite y evitar inconsistencias, teniendo en cuenta que, en algunos casos, se ha evidenciado que las respuestas no están siendo vinculadas adecuadamente o no se cita el número de radicado cuando se responde de manera separada.</w:t>
      </w:r>
    </w:p>
    <w:p w14:paraId="3881C541" w14:textId="16A668A1" w:rsidR="00335954" w:rsidRPr="00CE422F" w:rsidRDefault="00213EAF" w:rsidP="00E07C1C">
      <w:pPr>
        <w:pStyle w:val="Prrafodelista"/>
        <w:numPr>
          <w:ilvl w:val="0"/>
          <w:numId w:val="3"/>
        </w:numPr>
        <w:autoSpaceDE w:val="0"/>
        <w:autoSpaceDN w:val="0"/>
        <w:spacing w:line="360" w:lineRule="auto"/>
        <w:rPr>
          <w:rFonts w:eastAsia="Times New Roman" w:cs="Times New Roman"/>
          <w:color w:val="000000"/>
          <w:sz w:val="24"/>
          <w:szCs w:val="24"/>
          <w:lang w:val="es-CO"/>
        </w:rPr>
      </w:pPr>
      <w:r w:rsidRPr="00213EAF">
        <w:rPr>
          <w:rFonts w:ascii="Arial" w:eastAsia="Arial Narrow" w:hAnsi="Arial" w:cs="Arial"/>
          <w:sz w:val="24"/>
          <w:szCs w:val="24"/>
          <w:lang w:val="es-CO" w:bidi="es-ES"/>
        </w:rPr>
        <w:t>Se recomienda a los responsables de la atención y gestión de las peticiones, quejas, reclamos, sugerencias y denuncias (PQRSD), a través del Sistema de Gestión de Documentos Electrónicos de Archivo Digital HERMES, tener en cuenta el registro en la Tabla de Retención Documental (TRD) una vez el oficio llegue a sus bandejas de entrada, debidamente firmado por el líder del proceso. Este paso permite el envío correcto de la respuesta al ciudadano que radicó la petición, quien podrá consultarla en su carpeta ciudadana. Asimismo, contribuye a evitar vencimientos en el sistema HERMES</w:t>
      </w:r>
      <w:r w:rsidR="004E3C40" w:rsidRPr="00CE422F">
        <w:rPr>
          <w:rFonts w:ascii="Arial" w:eastAsia="Arial Narrow" w:hAnsi="Arial" w:cs="Arial"/>
          <w:sz w:val="24"/>
          <w:szCs w:val="24"/>
          <w:lang w:val="es-CO" w:bidi="es-ES"/>
        </w:rPr>
        <w:t>.</w:t>
      </w:r>
    </w:p>
    <w:p w14:paraId="342C46B9" w14:textId="7B583EDA" w:rsidR="00CF2F6C" w:rsidRDefault="00F50B15" w:rsidP="00E57E43">
      <w:pPr>
        <w:spacing w:after="0" w:line="360" w:lineRule="auto"/>
        <w:rPr>
          <w:rFonts w:ascii="Arial" w:eastAsia="Arial" w:hAnsi="Arial" w:cs="Arial"/>
          <w:b/>
          <w:bCs/>
          <w:sz w:val="24"/>
          <w:szCs w:val="24"/>
          <w:lang w:val="es-CO" w:eastAsia="es-419"/>
        </w:rPr>
      </w:pPr>
      <w:r w:rsidRPr="00E57E43">
        <w:rPr>
          <w:rFonts w:ascii="Arial" w:eastAsia="Arial" w:hAnsi="Arial" w:cs="Arial"/>
          <w:b/>
          <w:bCs/>
          <w:sz w:val="24"/>
          <w:szCs w:val="24"/>
          <w:lang w:val="es-CO" w:eastAsia="es-419"/>
        </w:rPr>
        <w:t>8</w:t>
      </w:r>
      <w:r w:rsidR="00CF2F6C" w:rsidRPr="00E57E43">
        <w:rPr>
          <w:rFonts w:ascii="Arial" w:eastAsia="Arial" w:hAnsi="Arial" w:cs="Arial"/>
          <w:b/>
          <w:bCs/>
          <w:sz w:val="24"/>
          <w:szCs w:val="24"/>
          <w:lang w:val="es-CO" w:eastAsia="es-419"/>
        </w:rPr>
        <w:t xml:space="preserve">. </w:t>
      </w:r>
      <w:r w:rsidR="0053070B" w:rsidRPr="00E57E43">
        <w:rPr>
          <w:rFonts w:ascii="Arial" w:eastAsia="Arial" w:hAnsi="Arial" w:cs="Arial"/>
          <w:b/>
          <w:bCs/>
          <w:sz w:val="24"/>
          <w:szCs w:val="24"/>
          <w:lang w:val="es-CO" w:eastAsia="es-419"/>
        </w:rPr>
        <w:t xml:space="preserve">CONCLUSIONES </w:t>
      </w:r>
      <w:bookmarkEnd w:id="16"/>
      <w:bookmarkEnd w:id="17"/>
    </w:p>
    <w:p w14:paraId="2418E083" w14:textId="49BACAEC"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Durante el mes de abril de 2026, APC Colombia mantuvo su compromiso con la atención oportuna de las PQRSD, garantizando el seguimiento y control de las solicitudes radicadas a través del Sistema de Gestión de Documentos Electrónicos de Archivo Digital HERMES.</w:t>
      </w:r>
    </w:p>
    <w:p w14:paraId="6969D728" w14:textId="77777777" w:rsidR="0013599D" w:rsidRPr="0013599D" w:rsidRDefault="0013599D" w:rsidP="0013599D">
      <w:pPr>
        <w:tabs>
          <w:tab w:val="left" w:pos="0"/>
        </w:tabs>
        <w:spacing w:after="0" w:line="360" w:lineRule="auto"/>
        <w:rPr>
          <w:rFonts w:ascii="Arial" w:eastAsia="Arial Narrow" w:hAnsi="Arial" w:cs="Arial"/>
          <w:sz w:val="24"/>
          <w:szCs w:val="24"/>
          <w:lang w:val="es-CO" w:bidi="es-ES"/>
        </w:rPr>
      </w:pPr>
    </w:p>
    <w:p w14:paraId="1C700402" w14:textId="6B769FD7"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La gestión realizada evidencia el compromiso institucional con los principios de transparencia, eficiencia administrativa, mejora continua y servicio al ciudadano, orientados a garantizar respuestas oportunas y de calidad.</w:t>
      </w:r>
    </w:p>
    <w:p w14:paraId="1056787A" w14:textId="77777777" w:rsidR="0013599D" w:rsidRPr="0013599D" w:rsidRDefault="0013599D" w:rsidP="0013599D">
      <w:pPr>
        <w:tabs>
          <w:tab w:val="left" w:pos="0"/>
        </w:tabs>
        <w:spacing w:after="0" w:line="360" w:lineRule="auto"/>
        <w:rPr>
          <w:rFonts w:ascii="Arial" w:eastAsia="Arial Narrow" w:hAnsi="Arial" w:cs="Arial"/>
          <w:sz w:val="24"/>
          <w:szCs w:val="24"/>
          <w:lang w:val="es-CO" w:bidi="es-ES"/>
        </w:rPr>
      </w:pPr>
    </w:p>
    <w:p w14:paraId="60589930" w14:textId="141EBD19"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El análisis de las PQRSD permite identificar tendencias y necesidades de información de los ciudadanos y grupos de valor, constituyéndose en una herramienta importante para la toma de decisiones y el fortalecimiento de los procesos institucionales.</w:t>
      </w:r>
    </w:p>
    <w:p w14:paraId="41F9C178" w14:textId="77777777" w:rsidR="0013599D" w:rsidRPr="0013599D" w:rsidRDefault="0013599D" w:rsidP="0013599D">
      <w:pPr>
        <w:tabs>
          <w:tab w:val="left" w:pos="0"/>
        </w:tabs>
        <w:spacing w:after="0" w:line="360" w:lineRule="auto"/>
        <w:rPr>
          <w:rFonts w:ascii="Arial" w:eastAsia="Arial Narrow" w:hAnsi="Arial" w:cs="Arial"/>
          <w:sz w:val="24"/>
          <w:szCs w:val="24"/>
          <w:lang w:val="es-CO" w:bidi="es-ES"/>
        </w:rPr>
      </w:pPr>
    </w:p>
    <w:p w14:paraId="257FFC2D" w14:textId="10832EC4"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El seguimiento permanente a los términos legales de respuesta y la articulación entre las dependencias contribuyen a minimizar riesgos asociados al incumplimiento normativo y fortalecen la confianza de la ciudadanía en la gestión de la entidad.</w:t>
      </w:r>
    </w:p>
    <w:p w14:paraId="39FA0D2F" w14:textId="77777777" w:rsidR="0013599D" w:rsidRPr="0013599D" w:rsidRDefault="0013599D" w:rsidP="0013599D">
      <w:pPr>
        <w:tabs>
          <w:tab w:val="left" w:pos="0"/>
        </w:tabs>
        <w:spacing w:after="0" w:line="360" w:lineRule="auto"/>
        <w:rPr>
          <w:rFonts w:ascii="Arial" w:eastAsia="Arial Narrow" w:hAnsi="Arial" w:cs="Arial"/>
          <w:sz w:val="24"/>
          <w:szCs w:val="24"/>
          <w:lang w:val="es-CO" w:bidi="es-ES"/>
        </w:rPr>
      </w:pPr>
    </w:p>
    <w:p w14:paraId="48D89ED0" w14:textId="571CC830"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Los mecanismos de control implementados para la gestión de las PQRSD permiten asegurar la trazabilidad de las actuaciones, el cumplimiento de los procedimientos internos y la adecuada atención de los requerimientos ciudadanos.</w:t>
      </w:r>
    </w:p>
    <w:p w14:paraId="39516A21" w14:textId="77777777" w:rsidR="0013599D" w:rsidRPr="0013599D" w:rsidRDefault="0013599D" w:rsidP="0013599D">
      <w:pPr>
        <w:tabs>
          <w:tab w:val="left" w:pos="0"/>
        </w:tabs>
        <w:spacing w:after="0" w:line="360" w:lineRule="auto"/>
        <w:rPr>
          <w:rFonts w:ascii="Arial" w:eastAsia="Arial Narrow" w:hAnsi="Arial" w:cs="Arial"/>
          <w:sz w:val="24"/>
          <w:szCs w:val="24"/>
          <w:lang w:val="es-CO" w:bidi="es-ES"/>
        </w:rPr>
      </w:pPr>
    </w:p>
    <w:p w14:paraId="48A7E496" w14:textId="4A630B9A"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eastAsia="Arial Narrow" w:hAnsi="Arial" w:cs="Arial"/>
          <w:sz w:val="24"/>
          <w:szCs w:val="24"/>
          <w:lang w:val="es-CO" w:bidi="es-ES"/>
        </w:rPr>
        <w:t>Se hace necesario continuar fortaleciendo las acciones preventivas orientadas a que las respuestas sean emitidas antes del vencimiento de los términos legales, mitigando posibles contingencias jurídicas, operativas o tecnológicas que puedan afectar la oportunidad de la atención al ciudadano, especialmente ante situaciones imprevistas relacionadas con la disponibilidad del sistema HERMES.</w:t>
      </w:r>
      <w:bookmarkEnd w:id="15"/>
    </w:p>
    <w:sectPr w:rsidR="0013599D" w:rsidRPr="0004354B" w:rsidSect="0018785A">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E83C" w14:textId="77777777" w:rsidR="00ED7633" w:rsidRDefault="00ED7633">
      <w:pPr>
        <w:spacing w:after="0" w:line="240" w:lineRule="auto"/>
      </w:pPr>
      <w:r>
        <w:separator/>
      </w:r>
    </w:p>
  </w:endnote>
  <w:endnote w:type="continuationSeparator" w:id="0">
    <w:p w14:paraId="05676D16" w14:textId="77777777" w:rsidR="00ED7633" w:rsidRDefault="00ED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1F12D72D"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01C89">
      <w:rPr>
        <w:rFonts w:ascii="Arial" w:hAnsi="Arial" w:cs="Arial"/>
        <w:noProof/>
        <w:color w:val="000000" w:themeColor="text1"/>
        <w:sz w:val="20"/>
        <w:szCs w:val="20"/>
        <w:bdr w:val="none" w:sz="0" w:space="0" w:color="auto" w:frame="1"/>
        <w:shd w:val="clear" w:color="auto" w:fill="FFFFFF"/>
        <w:lang w:val="es-CO"/>
      </w:rPr>
      <w:t>12</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F01C89">
      <w:rPr>
        <w:rFonts w:ascii="Arial" w:hAnsi="Arial" w:cs="Arial"/>
        <w:noProof/>
        <w:color w:val="000000" w:themeColor="text1"/>
        <w:sz w:val="20"/>
        <w:szCs w:val="20"/>
        <w:bdr w:val="none" w:sz="0" w:space="0" w:color="auto" w:frame="1"/>
        <w:shd w:val="clear" w:color="auto" w:fill="FFFFFF"/>
        <w:lang w:val="es-CO"/>
      </w:rPr>
      <w:t>12</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2A2B" w14:textId="77777777" w:rsidR="00ED7633" w:rsidRDefault="00ED7633">
      <w:pPr>
        <w:spacing w:after="0" w:line="240" w:lineRule="auto"/>
      </w:pPr>
      <w:r>
        <w:separator/>
      </w:r>
    </w:p>
  </w:footnote>
  <w:footnote w:type="continuationSeparator" w:id="0">
    <w:p w14:paraId="392714D0" w14:textId="77777777" w:rsidR="00ED7633" w:rsidRDefault="00ED7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D3F"/>
    <w:multiLevelType w:val="hybridMultilevel"/>
    <w:tmpl w:val="948E999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5335D"/>
    <w:multiLevelType w:val="hybridMultilevel"/>
    <w:tmpl w:val="65F28230"/>
    <w:lvl w:ilvl="0" w:tplc="240A0001">
      <w:start w:val="1"/>
      <w:numFmt w:val="bullet"/>
      <w:lvlText w:val=""/>
      <w:lvlJc w:val="left"/>
      <w:pPr>
        <w:ind w:left="720" w:hanging="360"/>
      </w:pPr>
      <w:rPr>
        <w:rFonts w:ascii="Symbol" w:hAnsi="Symbol" w:hint="default"/>
      </w:rPr>
    </w:lvl>
    <w:lvl w:ilvl="1" w:tplc="E354A1C0">
      <w:numFmt w:val="bullet"/>
      <w:lvlText w:val="•"/>
      <w:lvlJc w:val="left"/>
      <w:pPr>
        <w:ind w:left="1440" w:hanging="360"/>
      </w:pPr>
      <w:rPr>
        <w:rFonts w:ascii="Arial" w:eastAsia="Arial Narrow"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C87ED6"/>
    <w:multiLevelType w:val="hybridMultilevel"/>
    <w:tmpl w:val="73365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227855"/>
    <w:multiLevelType w:val="hybridMultilevel"/>
    <w:tmpl w:val="6754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42017F"/>
    <w:multiLevelType w:val="hybridMultilevel"/>
    <w:tmpl w:val="7168007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DD41F7"/>
    <w:multiLevelType w:val="hybridMultilevel"/>
    <w:tmpl w:val="140424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9041778">
    <w:abstractNumId w:val="4"/>
  </w:num>
  <w:num w:numId="2" w16cid:durableId="386803385">
    <w:abstractNumId w:val="6"/>
  </w:num>
  <w:num w:numId="3" w16cid:durableId="1733654792">
    <w:abstractNumId w:val="7"/>
  </w:num>
  <w:num w:numId="4" w16cid:durableId="706874335">
    <w:abstractNumId w:val="0"/>
  </w:num>
  <w:num w:numId="5" w16cid:durableId="1568764543">
    <w:abstractNumId w:val="2"/>
  </w:num>
  <w:num w:numId="6" w16cid:durableId="1167986739">
    <w:abstractNumId w:val="8"/>
  </w:num>
  <w:num w:numId="7" w16cid:durableId="1466124051">
    <w:abstractNumId w:val="3"/>
  </w:num>
  <w:num w:numId="8" w16cid:durableId="1582523404">
    <w:abstractNumId w:val="5"/>
  </w:num>
  <w:num w:numId="9" w16cid:durableId="921718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146D1"/>
    <w:rsid w:val="00017B1B"/>
    <w:rsid w:val="0002187A"/>
    <w:rsid w:val="00025CB2"/>
    <w:rsid w:val="00027165"/>
    <w:rsid w:val="00035D21"/>
    <w:rsid w:val="00036C61"/>
    <w:rsid w:val="00037D73"/>
    <w:rsid w:val="0004354B"/>
    <w:rsid w:val="00043E0C"/>
    <w:rsid w:val="00045393"/>
    <w:rsid w:val="0004725B"/>
    <w:rsid w:val="00054A4B"/>
    <w:rsid w:val="00055192"/>
    <w:rsid w:val="0006105D"/>
    <w:rsid w:val="00063353"/>
    <w:rsid w:val="0006375E"/>
    <w:rsid w:val="000671E9"/>
    <w:rsid w:val="0007084B"/>
    <w:rsid w:val="00075AED"/>
    <w:rsid w:val="000807A4"/>
    <w:rsid w:val="00083169"/>
    <w:rsid w:val="00087994"/>
    <w:rsid w:val="000910C6"/>
    <w:rsid w:val="000948EA"/>
    <w:rsid w:val="0009580C"/>
    <w:rsid w:val="00095EDA"/>
    <w:rsid w:val="00096572"/>
    <w:rsid w:val="000A0F96"/>
    <w:rsid w:val="000A5B05"/>
    <w:rsid w:val="000A65DA"/>
    <w:rsid w:val="000B3288"/>
    <w:rsid w:val="000B4734"/>
    <w:rsid w:val="000B65B0"/>
    <w:rsid w:val="000C26CD"/>
    <w:rsid w:val="000C2BE8"/>
    <w:rsid w:val="000C2DAE"/>
    <w:rsid w:val="000C5327"/>
    <w:rsid w:val="000C6ED3"/>
    <w:rsid w:val="000D1104"/>
    <w:rsid w:val="000D49F8"/>
    <w:rsid w:val="000D59E1"/>
    <w:rsid w:val="000E1AE2"/>
    <w:rsid w:val="000E57CD"/>
    <w:rsid w:val="000E7522"/>
    <w:rsid w:val="000E7700"/>
    <w:rsid w:val="000F1688"/>
    <w:rsid w:val="000F1988"/>
    <w:rsid w:val="000F4F1F"/>
    <w:rsid w:val="00106E57"/>
    <w:rsid w:val="001129C5"/>
    <w:rsid w:val="001150B5"/>
    <w:rsid w:val="001228BA"/>
    <w:rsid w:val="00122E23"/>
    <w:rsid w:val="001279E8"/>
    <w:rsid w:val="0013091F"/>
    <w:rsid w:val="001309C2"/>
    <w:rsid w:val="0013276B"/>
    <w:rsid w:val="0013599D"/>
    <w:rsid w:val="00136173"/>
    <w:rsid w:val="00136B9D"/>
    <w:rsid w:val="0014521B"/>
    <w:rsid w:val="00146BEF"/>
    <w:rsid w:val="001476C3"/>
    <w:rsid w:val="001511FB"/>
    <w:rsid w:val="00156B88"/>
    <w:rsid w:val="00163C3C"/>
    <w:rsid w:val="00166802"/>
    <w:rsid w:val="00173500"/>
    <w:rsid w:val="00173CCA"/>
    <w:rsid w:val="00182EA3"/>
    <w:rsid w:val="00183418"/>
    <w:rsid w:val="0018785A"/>
    <w:rsid w:val="001879F2"/>
    <w:rsid w:val="00192D30"/>
    <w:rsid w:val="00193448"/>
    <w:rsid w:val="00194AEA"/>
    <w:rsid w:val="00197833"/>
    <w:rsid w:val="001A1F30"/>
    <w:rsid w:val="001A2483"/>
    <w:rsid w:val="001B00A9"/>
    <w:rsid w:val="001B0ACA"/>
    <w:rsid w:val="001B22FA"/>
    <w:rsid w:val="001B365A"/>
    <w:rsid w:val="001B4163"/>
    <w:rsid w:val="001B51B5"/>
    <w:rsid w:val="001C0913"/>
    <w:rsid w:val="001C16DA"/>
    <w:rsid w:val="001C3B3E"/>
    <w:rsid w:val="001C4ED3"/>
    <w:rsid w:val="001C7655"/>
    <w:rsid w:val="001D5AC7"/>
    <w:rsid w:val="001E4F29"/>
    <w:rsid w:val="001E6061"/>
    <w:rsid w:val="001F4FF3"/>
    <w:rsid w:val="001F6E7F"/>
    <w:rsid w:val="001F7EF9"/>
    <w:rsid w:val="0020485D"/>
    <w:rsid w:val="00207C9A"/>
    <w:rsid w:val="00211D76"/>
    <w:rsid w:val="002125AC"/>
    <w:rsid w:val="00213EAF"/>
    <w:rsid w:val="002206F5"/>
    <w:rsid w:val="00220B78"/>
    <w:rsid w:val="00227709"/>
    <w:rsid w:val="00231CCF"/>
    <w:rsid w:val="00231EF1"/>
    <w:rsid w:val="00233FDB"/>
    <w:rsid w:val="00244F26"/>
    <w:rsid w:val="00245607"/>
    <w:rsid w:val="002467E1"/>
    <w:rsid w:val="00247872"/>
    <w:rsid w:val="00247DD7"/>
    <w:rsid w:val="00254894"/>
    <w:rsid w:val="002577BB"/>
    <w:rsid w:val="002610C8"/>
    <w:rsid w:val="00264D3E"/>
    <w:rsid w:val="00267EE5"/>
    <w:rsid w:val="002750B7"/>
    <w:rsid w:val="00276B32"/>
    <w:rsid w:val="0029002A"/>
    <w:rsid w:val="00291C10"/>
    <w:rsid w:val="00292EE2"/>
    <w:rsid w:val="002A27E4"/>
    <w:rsid w:val="002A4EB4"/>
    <w:rsid w:val="002B0BB9"/>
    <w:rsid w:val="002B1980"/>
    <w:rsid w:val="002B5C2D"/>
    <w:rsid w:val="002B6238"/>
    <w:rsid w:val="002B639D"/>
    <w:rsid w:val="002B7CC6"/>
    <w:rsid w:val="002C0E0A"/>
    <w:rsid w:val="002C4E91"/>
    <w:rsid w:val="002C7956"/>
    <w:rsid w:val="002D3225"/>
    <w:rsid w:val="002D56B2"/>
    <w:rsid w:val="002D597F"/>
    <w:rsid w:val="002D7126"/>
    <w:rsid w:val="002D77BE"/>
    <w:rsid w:val="002E09D1"/>
    <w:rsid w:val="002F0580"/>
    <w:rsid w:val="00301ACB"/>
    <w:rsid w:val="00303D98"/>
    <w:rsid w:val="0030573C"/>
    <w:rsid w:val="00313F64"/>
    <w:rsid w:val="00314ABB"/>
    <w:rsid w:val="00314EC1"/>
    <w:rsid w:val="00317686"/>
    <w:rsid w:val="00324BD4"/>
    <w:rsid w:val="00326357"/>
    <w:rsid w:val="00331005"/>
    <w:rsid w:val="00335954"/>
    <w:rsid w:val="00337F92"/>
    <w:rsid w:val="0034662A"/>
    <w:rsid w:val="00347B8C"/>
    <w:rsid w:val="00351B06"/>
    <w:rsid w:val="00355A43"/>
    <w:rsid w:val="003560E1"/>
    <w:rsid w:val="003563A9"/>
    <w:rsid w:val="0035644A"/>
    <w:rsid w:val="00362C44"/>
    <w:rsid w:val="00367519"/>
    <w:rsid w:val="0037250B"/>
    <w:rsid w:val="00377C9F"/>
    <w:rsid w:val="0038136C"/>
    <w:rsid w:val="00381717"/>
    <w:rsid w:val="00387BD3"/>
    <w:rsid w:val="003917D4"/>
    <w:rsid w:val="00391AEC"/>
    <w:rsid w:val="00394059"/>
    <w:rsid w:val="00394227"/>
    <w:rsid w:val="00395E73"/>
    <w:rsid w:val="003A136A"/>
    <w:rsid w:val="003A21F3"/>
    <w:rsid w:val="003A3E44"/>
    <w:rsid w:val="003B19C5"/>
    <w:rsid w:val="003B7428"/>
    <w:rsid w:val="003C12A8"/>
    <w:rsid w:val="003D38D0"/>
    <w:rsid w:val="003D4221"/>
    <w:rsid w:val="003D6DD9"/>
    <w:rsid w:val="003D792D"/>
    <w:rsid w:val="003D7EE6"/>
    <w:rsid w:val="003E3B7F"/>
    <w:rsid w:val="003E5E66"/>
    <w:rsid w:val="003E7E2D"/>
    <w:rsid w:val="003F2E92"/>
    <w:rsid w:val="003F33BA"/>
    <w:rsid w:val="003F4F7D"/>
    <w:rsid w:val="003F5A0A"/>
    <w:rsid w:val="003F600E"/>
    <w:rsid w:val="00400DAC"/>
    <w:rsid w:val="0040594A"/>
    <w:rsid w:val="00406268"/>
    <w:rsid w:val="00406484"/>
    <w:rsid w:val="00410CB1"/>
    <w:rsid w:val="004119D8"/>
    <w:rsid w:val="00411C88"/>
    <w:rsid w:val="004151AB"/>
    <w:rsid w:val="00417CA9"/>
    <w:rsid w:val="00420E15"/>
    <w:rsid w:val="00422D83"/>
    <w:rsid w:val="00426B59"/>
    <w:rsid w:val="004301A0"/>
    <w:rsid w:val="004313C9"/>
    <w:rsid w:val="00433308"/>
    <w:rsid w:val="00435724"/>
    <w:rsid w:val="004369A1"/>
    <w:rsid w:val="00440DC6"/>
    <w:rsid w:val="0044117E"/>
    <w:rsid w:val="00445D30"/>
    <w:rsid w:val="004523CC"/>
    <w:rsid w:val="00453AEB"/>
    <w:rsid w:val="00460913"/>
    <w:rsid w:val="00460A40"/>
    <w:rsid w:val="004645EC"/>
    <w:rsid w:val="004647CF"/>
    <w:rsid w:val="0046774B"/>
    <w:rsid w:val="004825A2"/>
    <w:rsid w:val="00484E01"/>
    <w:rsid w:val="00490B7D"/>
    <w:rsid w:val="004922B5"/>
    <w:rsid w:val="00492BDC"/>
    <w:rsid w:val="00497EBE"/>
    <w:rsid w:val="00497EF1"/>
    <w:rsid w:val="004B03B7"/>
    <w:rsid w:val="004B1074"/>
    <w:rsid w:val="004B1D2E"/>
    <w:rsid w:val="004B3BA2"/>
    <w:rsid w:val="004B446F"/>
    <w:rsid w:val="004B5F6F"/>
    <w:rsid w:val="004C46E1"/>
    <w:rsid w:val="004C572D"/>
    <w:rsid w:val="004D1B83"/>
    <w:rsid w:val="004D5FE2"/>
    <w:rsid w:val="004E3C40"/>
    <w:rsid w:val="004E50FE"/>
    <w:rsid w:val="004E7C57"/>
    <w:rsid w:val="004F22DA"/>
    <w:rsid w:val="004F312B"/>
    <w:rsid w:val="004F37F2"/>
    <w:rsid w:val="004F4B12"/>
    <w:rsid w:val="004F4D09"/>
    <w:rsid w:val="004F6E61"/>
    <w:rsid w:val="00501A5E"/>
    <w:rsid w:val="00502E98"/>
    <w:rsid w:val="005150A8"/>
    <w:rsid w:val="00517944"/>
    <w:rsid w:val="00517E8A"/>
    <w:rsid w:val="005227AA"/>
    <w:rsid w:val="00527076"/>
    <w:rsid w:val="005306CE"/>
    <w:rsid w:val="0053070B"/>
    <w:rsid w:val="0053530C"/>
    <w:rsid w:val="005371F8"/>
    <w:rsid w:val="00540F47"/>
    <w:rsid w:val="00543FC2"/>
    <w:rsid w:val="00544FB0"/>
    <w:rsid w:val="00547121"/>
    <w:rsid w:val="005536C7"/>
    <w:rsid w:val="00555ABB"/>
    <w:rsid w:val="00556289"/>
    <w:rsid w:val="00557230"/>
    <w:rsid w:val="00557F97"/>
    <w:rsid w:val="005625E0"/>
    <w:rsid w:val="00566599"/>
    <w:rsid w:val="0057460F"/>
    <w:rsid w:val="0057721C"/>
    <w:rsid w:val="00580502"/>
    <w:rsid w:val="0058299D"/>
    <w:rsid w:val="00582ADE"/>
    <w:rsid w:val="00584AF8"/>
    <w:rsid w:val="005924EF"/>
    <w:rsid w:val="005A13E1"/>
    <w:rsid w:val="005A2392"/>
    <w:rsid w:val="005A69FA"/>
    <w:rsid w:val="005A6AD9"/>
    <w:rsid w:val="005A7AF3"/>
    <w:rsid w:val="005B2C24"/>
    <w:rsid w:val="005B34B8"/>
    <w:rsid w:val="005B7FCC"/>
    <w:rsid w:val="005C1101"/>
    <w:rsid w:val="005C1AF3"/>
    <w:rsid w:val="005C3305"/>
    <w:rsid w:val="005C4EEA"/>
    <w:rsid w:val="005C55F6"/>
    <w:rsid w:val="005C5B5A"/>
    <w:rsid w:val="005C697F"/>
    <w:rsid w:val="005C7772"/>
    <w:rsid w:val="005D433E"/>
    <w:rsid w:val="005D5216"/>
    <w:rsid w:val="005D57F2"/>
    <w:rsid w:val="005D6506"/>
    <w:rsid w:val="005D65C8"/>
    <w:rsid w:val="005D6E7E"/>
    <w:rsid w:val="005E0ED3"/>
    <w:rsid w:val="005E57E9"/>
    <w:rsid w:val="005E6735"/>
    <w:rsid w:val="005E764F"/>
    <w:rsid w:val="005F22BC"/>
    <w:rsid w:val="005F3318"/>
    <w:rsid w:val="00601B80"/>
    <w:rsid w:val="00605F23"/>
    <w:rsid w:val="00611D18"/>
    <w:rsid w:val="00612505"/>
    <w:rsid w:val="006125E6"/>
    <w:rsid w:val="00614BC9"/>
    <w:rsid w:val="0062015B"/>
    <w:rsid w:val="00622F57"/>
    <w:rsid w:val="00624891"/>
    <w:rsid w:val="0063305F"/>
    <w:rsid w:val="00634C5F"/>
    <w:rsid w:val="00635492"/>
    <w:rsid w:val="00643C3F"/>
    <w:rsid w:val="00647FFD"/>
    <w:rsid w:val="00654CA7"/>
    <w:rsid w:val="00664B03"/>
    <w:rsid w:val="0066674C"/>
    <w:rsid w:val="00670DA4"/>
    <w:rsid w:val="00672CB4"/>
    <w:rsid w:val="006742BA"/>
    <w:rsid w:val="00674960"/>
    <w:rsid w:val="00676F51"/>
    <w:rsid w:val="0068014E"/>
    <w:rsid w:val="0068021F"/>
    <w:rsid w:val="006820BB"/>
    <w:rsid w:val="00691B03"/>
    <w:rsid w:val="00694232"/>
    <w:rsid w:val="006972CD"/>
    <w:rsid w:val="006A21FE"/>
    <w:rsid w:val="006A37A4"/>
    <w:rsid w:val="006A4292"/>
    <w:rsid w:val="006A5300"/>
    <w:rsid w:val="006B3C3B"/>
    <w:rsid w:val="006B4415"/>
    <w:rsid w:val="006B59E0"/>
    <w:rsid w:val="006C4E93"/>
    <w:rsid w:val="006C562A"/>
    <w:rsid w:val="006C625F"/>
    <w:rsid w:val="006D35EF"/>
    <w:rsid w:val="006D3E34"/>
    <w:rsid w:val="006D6635"/>
    <w:rsid w:val="006D78F5"/>
    <w:rsid w:val="006E18A5"/>
    <w:rsid w:val="006E4407"/>
    <w:rsid w:val="006E55BE"/>
    <w:rsid w:val="006F1A23"/>
    <w:rsid w:val="006F2C87"/>
    <w:rsid w:val="006F5012"/>
    <w:rsid w:val="00704319"/>
    <w:rsid w:val="007070E7"/>
    <w:rsid w:val="00710DA1"/>
    <w:rsid w:val="00713D77"/>
    <w:rsid w:val="00714C0B"/>
    <w:rsid w:val="00714CD5"/>
    <w:rsid w:val="00715135"/>
    <w:rsid w:val="0071557C"/>
    <w:rsid w:val="007205F4"/>
    <w:rsid w:val="0072090F"/>
    <w:rsid w:val="00722285"/>
    <w:rsid w:val="00723BD1"/>
    <w:rsid w:val="00724400"/>
    <w:rsid w:val="007253DA"/>
    <w:rsid w:val="0073210D"/>
    <w:rsid w:val="00736C0C"/>
    <w:rsid w:val="007373EC"/>
    <w:rsid w:val="007429B7"/>
    <w:rsid w:val="007623B5"/>
    <w:rsid w:val="00764189"/>
    <w:rsid w:val="00764C75"/>
    <w:rsid w:val="00767B82"/>
    <w:rsid w:val="00770BE7"/>
    <w:rsid w:val="0077378A"/>
    <w:rsid w:val="00777302"/>
    <w:rsid w:val="00781DC6"/>
    <w:rsid w:val="00783F54"/>
    <w:rsid w:val="00784484"/>
    <w:rsid w:val="00791A3F"/>
    <w:rsid w:val="0079302F"/>
    <w:rsid w:val="007932A1"/>
    <w:rsid w:val="00793680"/>
    <w:rsid w:val="007968B2"/>
    <w:rsid w:val="007A1004"/>
    <w:rsid w:val="007A27D3"/>
    <w:rsid w:val="007A3CE5"/>
    <w:rsid w:val="007A67B9"/>
    <w:rsid w:val="007A7E3F"/>
    <w:rsid w:val="007B12C7"/>
    <w:rsid w:val="007B23DD"/>
    <w:rsid w:val="007B53E6"/>
    <w:rsid w:val="007B5B94"/>
    <w:rsid w:val="007B5B95"/>
    <w:rsid w:val="007C1ACC"/>
    <w:rsid w:val="007C413A"/>
    <w:rsid w:val="007C61EF"/>
    <w:rsid w:val="007C733C"/>
    <w:rsid w:val="007D4FE0"/>
    <w:rsid w:val="007D50E4"/>
    <w:rsid w:val="007E06BE"/>
    <w:rsid w:val="007E0BAB"/>
    <w:rsid w:val="007E350B"/>
    <w:rsid w:val="007E4D91"/>
    <w:rsid w:val="007E5A77"/>
    <w:rsid w:val="007E6195"/>
    <w:rsid w:val="007F239A"/>
    <w:rsid w:val="007F3408"/>
    <w:rsid w:val="007F39A9"/>
    <w:rsid w:val="007F70EC"/>
    <w:rsid w:val="007F7F8D"/>
    <w:rsid w:val="0080283D"/>
    <w:rsid w:val="0080344C"/>
    <w:rsid w:val="0080633F"/>
    <w:rsid w:val="00811AD5"/>
    <w:rsid w:val="00812751"/>
    <w:rsid w:val="0081418C"/>
    <w:rsid w:val="00814FAC"/>
    <w:rsid w:val="00820A5B"/>
    <w:rsid w:val="0083092D"/>
    <w:rsid w:val="008341E3"/>
    <w:rsid w:val="008374AA"/>
    <w:rsid w:val="00837D52"/>
    <w:rsid w:val="00840C4F"/>
    <w:rsid w:val="00841722"/>
    <w:rsid w:val="0084346D"/>
    <w:rsid w:val="00844800"/>
    <w:rsid w:val="0084673A"/>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74A03"/>
    <w:rsid w:val="00881893"/>
    <w:rsid w:val="00883B6B"/>
    <w:rsid w:val="00886D1C"/>
    <w:rsid w:val="0089002C"/>
    <w:rsid w:val="00894CE4"/>
    <w:rsid w:val="00895729"/>
    <w:rsid w:val="008A32B3"/>
    <w:rsid w:val="008A35C9"/>
    <w:rsid w:val="008A481E"/>
    <w:rsid w:val="008B7731"/>
    <w:rsid w:val="008C409D"/>
    <w:rsid w:val="008C45D7"/>
    <w:rsid w:val="008D4CC0"/>
    <w:rsid w:val="008D6B66"/>
    <w:rsid w:val="008E083F"/>
    <w:rsid w:val="008F3D93"/>
    <w:rsid w:val="008F49E2"/>
    <w:rsid w:val="008F52F8"/>
    <w:rsid w:val="008F54D0"/>
    <w:rsid w:val="008F5EBB"/>
    <w:rsid w:val="00903F49"/>
    <w:rsid w:val="00905B73"/>
    <w:rsid w:val="009111CB"/>
    <w:rsid w:val="00911A88"/>
    <w:rsid w:val="00912825"/>
    <w:rsid w:val="009221B9"/>
    <w:rsid w:val="00924B33"/>
    <w:rsid w:val="009260BD"/>
    <w:rsid w:val="00926207"/>
    <w:rsid w:val="009357A2"/>
    <w:rsid w:val="009402A7"/>
    <w:rsid w:val="00941B5D"/>
    <w:rsid w:val="00941E27"/>
    <w:rsid w:val="00943F0D"/>
    <w:rsid w:val="00944A7E"/>
    <w:rsid w:val="009463F4"/>
    <w:rsid w:val="00952689"/>
    <w:rsid w:val="0095390D"/>
    <w:rsid w:val="00957042"/>
    <w:rsid w:val="0097078F"/>
    <w:rsid w:val="009716D8"/>
    <w:rsid w:val="009727C1"/>
    <w:rsid w:val="0097753B"/>
    <w:rsid w:val="009821A7"/>
    <w:rsid w:val="00982916"/>
    <w:rsid w:val="00987183"/>
    <w:rsid w:val="009878AA"/>
    <w:rsid w:val="009901A6"/>
    <w:rsid w:val="00992A4D"/>
    <w:rsid w:val="00996050"/>
    <w:rsid w:val="009A182B"/>
    <w:rsid w:val="009A5592"/>
    <w:rsid w:val="009A6B78"/>
    <w:rsid w:val="009B03A1"/>
    <w:rsid w:val="009B046D"/>
    <w:rsid w:val="009B11A6"/>
    <w:rsid w:val="009B27DE"/>
    <w:rsid w:val="009B4829"/>
    <w:rsid w:val="009B65CE"/>
    <w:rsid w:val="009B6D47"/>
    <w:rsid w:val="009C06A3"/>
    <w:rsid w:val="009C15C3"/>
    <w:rsid w:val="009D1808"/>
    <w:rsid w:val="009D2A6B"/>
    <w:rsid w:val="009D7339"/>
    <w:rsid w:val="009D75A9"/>
    <w:rsid w:val="009E0067"/>
    <w:rsid w:val="009E0B1A"/>
    <w:rsid w:val="009E58F5"/>
    <w:rsid w:val="009E643F"/>
    <w:rsid w:val="009E6F18"/>
    <w:rsid w:val="009F2671"/>
    <w:rsid w:val="009F42D0"/>
    <w:rsid w:val="009F4887"/>
    <w:rsid w:val="009F59D3"/>
    <w:rsid w:val="009F7E14"/>
    <w:rsid w:val="00A03A6C"/>
    <w:rsid w:val="00A0420B"/>
    <w:rsid w:val="00A06AB4"/>
    <w:rsid w:val="00A06E3D"/>
    <w:rsid w:val="00A07B71"/>
    <w:rsid w:val="00A15AC7"/>
    <w:rsid w:val="00A20652"/>
    <w:rsid w:val="00A25134"/>
    <w:rsid w:val="00A275DE"/>
    <w:rsid w:val="00A2789B"/>
    <w:rsid w:val="00A33B46"/>
    <w:rsid w:val="00A347F2"/>
    <w:rsid w:val="00A37231"/>
    <w:rsid w:val="00A37360"/>
    <w:rsid w:val="00A40CFD"/>
    <w:rsid w:val="00A44470"/>
    <w:rsid w:val="00A45BAC"/>
    <w:rsid w:val="00A502D4"/>
    <w:rsid w:val="00A51351"/>
    <w:rsid w:val="00A56539"/>
    <w:rsid w:val="00A64F9E"/>
    <w:rsid w:val="00A66960"/>
    <w:rsid w:val="00A67B1E"/>
    <w:rsid w:val="00A726D5"/>
    <w:rsid w:val="00A734BE"/>
    <w:rsid w:val="00A80BD6"/>
    <w:rsid w:val="00A8359F"/>
    <w:rsid w:val="00A838BE"/>
    <w:rsid w:val="00A84092"/>
    <w:rsid w:val="00A84A6F"/>
    <w:rsid w:val="00AA16C5"/>
    <w:rsid w:val="00AA2AE3"/>
    <w:rsid w:val="00AA2CB2"/>
    <w:rsid w:val="00AB588F"/>
    <w:rsid w:val="00AB75A2"/>
    <w:rsid w:val="00AC2D6D"/>
    <w:rsid w:val="00AC5AC7"/>
    <w:rsid w:val="00AC6313"/>
    <w:rsid w:val="00AD53F5"/>
    <w:rsid w:val="00AD5E4A"/>
    <w:rsid w:val="00AE185C"/>
    <w:rsid w:val="00AE4CAB"/>
    <w:rsid w:val="00AE4FCD"/>
    <w:rsid w:val="00B0141D"/>
    <w:rsid w:val="00B1112F"/>
    <w:rsid w:val="00B125CA"/>
    <w:rsid w:val="00B13162"/>
    <w:rsid w:val="00B15C40"/>
    <w:rsid w:val="00B15FE7"/>
    <w:rsid w:val="00B21D88"/>
    <w:rsid w:val="00B27EB3"/>
    <w:rsid w:val="00B30945"/>
    <w:rsid w:val="00B30A14"/>
    <w:rsid w:val="00B32E00"/>
    <w:rsid w:val="00B3316E"/>
    <w:rsid w:val="00B3549D"/>
    <w:rsid w:val="00B40199"/>
    <w:rsid w:val="00B4103F"/>
    <w:rsid w:val="00B447C2"/>
    <w:rsid w:val="00B53F47"/>
    <w:rsid w:val="00B5500C"/>
    <w:rsid w:val="00B553F1"/>
    <w:rsid w:val="00B56295"/>
    <w:rsid w:val="00B60CB2"/>
    <w:rsid w:val="00B63ED4"/>
    <w:rsid w:val="00B77413"/>
    <w:rsid w:val="00B779AC"/>
    <w:rsid w:val="00B81D2A"/>
    <w:rsid w:val="00B829FB"/>
    <w:rsid w:val="00B83BC6"/>
    <w:rsid w:val="00B86C6C"/>
    <w:rsid w:val="00B878C1"/>
    <w:rsid w:val="00B9183C"/>
    <w:rsid w:val="00B949C9"/>
    <w:rsid w:val="00B9674A"/>
    <w:rsid w:val="00BA0014"/>
    <w:rsid w:val="00BA0A7C"/>
    <w:rsid w:val="00BA529A"/>
    <w:rsid w:val="00BA61A9"/>
    <w:rsid w:val="00BB0B23"/>
    <w:rsid w:val="00BB2FF6"/>
    <w:rsid w:val="00BC03C4"/>
    <w:rsid w:val="00BC30D1"/>
    <w:rsid w:val="00BC4142"/>
    <w:rsid w:val="00BC43EB"/>
    <w:rsid w:val="00BC6A21"/>
    <w:rsid w:val="00BD0BC5"/>
    <w:rsid w:val="00BD1F22"/>
    <w:rsid w:val="00BD2D1F"/>
    <w:rsid w:val="00BE04B0"/>
    <w:rsid w:val="00BE2055"/>
    <w:rsid w:val="00BE2CA4"/>
    <w:rsid w:val="00BE6561"/>
    <w:rsid w:val="00BE697B"/>
    <w:rsid w:val="00BF0F7A"/>
    <w:rsid w:val="00BF1506"/>
    <w:rsid w:val="00BF1C56"/>
    <w:rsid w:val="00BF70C7"/>
    <w:rsid w:val="00BF7AC2"/>
    <w:rsid w:val="00C1343F"/>
    <w:rsid w:val="00C15C3D"/>
    <w:rsid w:val="00C16908"/>
    <w:rsid w:val="00C208A3"/>
    <w:rsid w:val="00C21648"/>
    <w:rsid w:val="00C21AF7"/>
    <w:rsid w:val="00C31FC8"/>
    <w:rsid w:val="00C33657"/>
    <w:rsid w:val="00C33B6B"/>
    <w:rsid w:val="00C3531B"/>
    <w:rsid w:val="00C36B0E"/>
    <w:rsid w:val="00C40A56"/>
    <w:rsid w:val="00C44710"/>
    <w:rsid w:val="00C45B87"/>
    <w:rsid w:val="00C501AC"/>
    <w:rsid w:val="00C527F7"/>
    <w:rsid w:val="00C5308A"/>
    <w:rsid w:val="00C54994"/>
    <w:rsid w:val="00C65237"/>
    <w:rsid w:val="00C67130"/>
    <w:rsid w:val="00C822D7"/>
    <w:rsid w:val="00C842E9"/>
    <w:rsid w:val="00C934E1"/>
    <w:rsid w:val="00C964D9"/>
    <w:rsid w:val="00CA272E"/>
    <w:rsid w:val="00CA6B85"/>
    <w:rsid w:val="00CC102D"/>
    <w:rsid w:val="00CC10B1"/>
    <w:rsid w:val="00CC4550"/>
    <w:rsid w:val="00CC6B25"/>
    <w:rsid w:val="00CC6B6C"/>
    <w:rsid w:val="00CC7F81"/>
    <w:rsid w:val="00CD79DA"/>
    <w:rsid w:val="00CE2DAB"/>
    <w:rsid w:val="00CE422F"/>
    <w:rsid w:val="00CE6F6F"/>
    <w:rsid w:val="00CE70E3"/>
    <w:rsid w:val="00CF2452"/>
    <w:rsid w:val="00CF2F6C"/>
    <w:rsid w:val="00CF6E94"/>
    <w:rsid w:val="00D00384"/>
    <w:rsid w:val="00D01F51"/>
    <w:rsid w:val="00D0340D"/>
    <w:rsid w:val="00D03901"/>
    <w:rsid w:val="00D119AC"/>
    <w:rsid w:val="00D15D36"/>
    <w:rsid w:val="00D2476C"/>
    <w:rsid w:val="00D34544"/>
    <w:rsid w:val="00D34D3A"/>
    <w:rsid w:val="00D35489"/>
    <w:rsid w:val="00D35B52"/>
    <w:rsid w:val="00D37491"/>
    <w:rsid w:val="00D42A20"/>
    <w:rsid w:val="00D45342"/>
    <w:rsid w:val="00D464D2"/>
    <w:rsid w:val="00D47B8D"/>
    <w:rsid w:val="00D53C20"/>
    <w:rsid w:val="00D559E2"/>
    <w:rsid w:val="00D56E6C"/>
    <w:rsid w:val="00D60645"/>
    <w:rsid w:val="00D61524"/>
    <w:rsid w:val="00D61EB1"/>
    <w:rsid w:val="00D62F71"/>
    <w:rsid w:val="00D71EE6"/>
    <w:rsid w:val="00D7639B"/>
    <w:rsid w:val="00D84542"/>
    <w:rsid w:val="00D94450"/>
    <w:rsid w:val="00D946E5"/>
    <w:rsid w:val="00D94E63"/>
    <w:rsid w:val="00DA08F0"/>
    <w:rsid w:val="00DA4A97"/>
    <w:rsid w:val="00DB639D"/>
    <w:rsid w:val="00DB7294"/>
    <w:rsid w:val="00DC2C43"/>
    <w:rsid w:val="00DC3BDD"/>
    <w:rsid w:val="00DC4307"/>
    <w:rsid w:val="00DD623F"/>
    <w:rsid w:val="00DD64CF"/>
    <w:rsid w:val="00DE125A"/>
    <w:rsid w:val="00DE3BBF"/>
    <w:rsid w:val="00DE5986"/>
    <w:rsid w:val="00DF0581"/>
    <w:rsid w:val="00E00584"/>
    <w:rsid w:val="00E03AC2"/>
    <w:rsid w:val="00E066EA"/>
    <w:rsid w:val="00E10BFD"/>
    <w:rsid w:val="00E114AF"/>
    <w:rsid w:val="00E115EF"/>
    <w:rsid w:val="00E11D19"/>
    <w:rsid w:val="00E1332B"/>
    <w:rsid w:val="00E13752"/>
    <w:rsid w:val="00E142BE"/>
    <w:rsid w:val="00E27B21"/>
    <w:rsid w:val="00E303CE"/>
    <w:rsid w:val="00E45E98"/>
    <w:rsid w:val="00E54DBC"/>
    <w:rsid w:val="00E5705E"/>
    <w:rsid w:val="00E57E43"/>
    <w:rsid w:val="00E608B5"/>
    <w:rsid w:val="00E61727"/>
    <w:rsid w:val="00E61C8E"/>
    <w:rsid w:val="00E63BC6"/>
    <w:rsid w:val="00E645AF"/>
    <w:rsid w:val="00E65A00"/>
    <w:rsid w:val="00E7072F"/>
    <w:rsid w:val="00E72783"/>
    <w:rsid w:val="00E74645"/>
    <w:rsid w:val="00E753FF"/>
    <w:rsid w:val="00E80E6D"/>
    <w:rsid w:val="00E83696"/>
    <w:rsid w:val="00E9235D"/>
    <w:rsid w:val="00E928F3"/>
    <w:rsid w:val="00E946CE"/>
    <w:rsid w:val="00E95E04"/>
    <w:rsid w:val="00E96F1C"/>
    <w:rsid w:val="00EA417B"/>
    <w:rsid w:val="00EA5ED0"/>
    <w:rsid w:val="00EA6D72"/>
    <w:rsid w:val="00EB0FD8"/>
    <w:rsid w:val="00EB171A"/>
    <w:rsid w:val="00EB3ADC"/>
    <w:rsid w:val="00EB3D65"/>
    <w:rsid w:val="00EB630E"/>
    <w:rsid w:val="00EB796E"/>
    <w:rsid w:val="00EC2345"/>
    <w:rsid w:val="00EC3C96"/>
    <w:rsid w:val="00EC53A4"/>
    <w:rsid w:val="00EC5BC0"/>
    <w:rsid w:val="00ED7633"/>
    <w:rsid w:val="00EF1915"/>
    <w:rsid w:val="00EF1D0C"/>
    <w:rsid w:val="00EF530F"/>
    <w:rsid w:val="00EF7D15"/>
    <w:rsid w:val="00F00FF6"/>
    <w:rsid w:val="00F01C89"/>
    <w:rsid w:val="00F02DC4"/>
    <w:rsid w:val="00F0335E"/>
    <w:rsid w:val="00F1076E"/>
    <w:rsid w:val="00F10AB2"/>
    <w:rsid w:val="00F13934"/>
    <w:rsid w:val="00F15E4B"/>
    <w:rsid w:val="00F20DF9"/>
    <w:rsid w:val="00F223BE"/>
    <w:rsid w:val="00F24F9B"/>
    <w:rsid w:val="00F253A7"/>
    <w:rsid w:val="00F26C70"/>
    <w:rsid w:val="00F33082"/>
    <w:rsid w:val="00F34441"/>
    <w:rsid w:val="00F4753C"/>
    <w:rsid w:val="00F47B28"/>
    <w:rsid w:val="00F50032"/>
    <w:rsid w:val="00F50B15"/>
    <w:rsid w:val="00F541B5"/>
    <w:rsid w:val="00F6163F"/>
    <w:rsid w:val="00F6306A"/>
    <w:rsid w:val="00F67512"/>
    <w:rsid w:val="00F731E6"/>
    <w:rsid w:val="00F734CE"/>
    <w:rsid w:val="00F742B4"/>
    <w:rsid w:val="00F7608B"/>
    <w:rsid w:val="00F83386"/>
    <w:rsid w:val="00F845BF"/>
    <w:rsid w:val="00F85F5C"/>
    <w:rsid w:val="00F9096E"/>
    <w:rsid w:val="00F90AB8"/>
    <w:rsid w:val="00F91801"/>
    <w:rsid w:val="00F92E83"/>
    <w:rsid w:val="00FA3050"/>
    <w:rsid w:val="00FA3B96"/>
    <w:rsid w:val="00FA4F4B"/>
    <w:rsid w:val="00FA57CE"/>
    <w:rsid w:val="00FA7EC7"/>
    <w:rsid w:val="00FC0D82"/>
    <w:rsid w:val="00FC28FB"/>
    <w:rsid w:val="00FC30A5"/>
    <w:rsid w:val="00FC40EB"/>
    <w:rsid w:val="00FC719E"/>
    <w:rsid w:val="00FD4087"/>
    <w:rsid w:val="00FD47A0"/>
    <w:rsid w:val="00FE11E0"/>
    <w:rsid w:val="00FE5AD4"/>
    <w:rsid w:val="00FE5CF8"/>
    <w:rsid w:val="00FF2997"/>
    <w:rsid w:val="00FF2CD6"/>
    <w:rsid w:val="00FF5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 w:type="character" w:customStyle="1" w:styleId="mark9ae4abtz1">
    <w:name w:val="mark9ae4abtz1"/>
    <w:basedOn w:val="Fuentedeprrafopredeter"/>
    <w:rsid w:val="0033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25525612">
      <w:bodyDiv w:val="1"/>
      <w:marLeft w:val="0"/>
      <w:marRight w:val="0"/>
      <w:marTop w:val="0"/>
      <w:marBottom w:val="0"/>
      <w:divBdr>
        <w:top w:val="none" w:sz="0" w:space="0" w:color="auto"/>
        <w:left w:val="none" w:sz="0" w:space="0" w:color="auto"/>
        <w:bottom w:val="none" w:sz="0" w:space="0" w:color="auto"/>
        <w:right w:val="none" w:sz="0" w:space="0" w:color="auto"/>
      </w:divBdr>
    </w:div>
    <w:div w:id="30612094">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32506942">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83184113">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183176620">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7887864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294068477">
      <w:bodyDiv w:val="1"/>
      <w:marLeft w:val="0"/>
      <w:marRight w:val="0"/>
      <w:marTop w:val="0"/>
      <w:marBottom w:val="0"/>
      <w:divBdr>
        <w:top w:val="none" w:sz="0" w:space="0" w:color="auto"/>
        <w:left w:val="none" w:sz="0" w:space="0" w:color="auto"/>
        <w:bottom w:val="none" w:sz="0" w:space="0" w:color="auto"/>
        <w:right w:val="none" w:sz="0" w:space="0" w:color="auto"/>
      </w:divBdr>
    </w:div>
    <w:div w:id="301158879">
      <w:bodyDiv w:val="1"/>
      <w:marLeft w:val="0"/>
      <w:marRight w:val="0"/>
      <w:marTop w:val="0"/>
      <w:marBottom w:val="0"/>
      <w:divBdr>
        <w:top w:val="none" w:sz="0" w:space="0" w:color="auto"/>
        <w:left w:val="none" w:sz="0" w:space="0" w:color="auto"/>
        <w:bottom w:val="none" w:sz="0" w:space="0" w:color="auto"/>
        <w:right w:val="none" w:sz="0" w:space="0" w:color="auto"/>
      </w:divBdr>
      <w:divsChild>
        <w:div w:id="1543440174">
          <w:marLeft w:val="0"/>
          <w:marRight w:val="0"/>
          <w:marTop w:val="0"/>
          <w:marBottom w:val="0"/>
          <w:divBdr>
            <w:top w:val="none" w:sz="0" w:space="0" w:color="auto"/>
            <w:left w:val="none" w:sz="0" w:space="0" w:color="auto"/>
            <w:bottom w:val="none" w:sz="0" w:space="0" w:color="auto"/>
            <w:right w:val="none" w:sz="0" w:space="0" w:color="auto"/>
          </w:divBdr>
          <w:divsChild>
            <w:div w:id="256523350">
              <w:marLeft w:val="0"/>
              <w:marRight w:val="0"/>
              <w:marTop w:val="0"/>
              <w:marBottom w:val="0"/>
              <w:divBdr>
                <w:top w:val="none" w:sz="0" w:space="0" w:color="auto"/>
                <w:left w:val="none" w:sz="0" w:space="0" w:color="auto"/>
                <w:bottom w:val="none" w:sz="0" w:space="0" w:color="auto"/>
                <w:right w:val="none" w:sz="0" w:space="0" w:color="auto"/>
              </w:divBdr>
              <w:divsChild>
                <w:div w:id="929191575">
                  <w:marLeft w:val="0"/>
                  <w:marRight w:val="0"/>
                  <w:marTop w:val="0"/>
                  <w:marBottom w:val="0"/>
                  <w:divBdr>
                    <w:top w:val="none" w:sz="0" w:space="0" w:color="auto"/>
                    <w:left w:val="none" w:sz="0" w:space="0" w:color="auto"/>
                    <w:bottom w:val="none" w:sz="0" w:space="0" w:color="auto"/>
                    <w:right w:val="none" w:sz="0" w:space="0" w:color="auto"/>
                  </w:divBdr>
                  <w:divsChild>
                    <w:div w:id="700787226">
                      <w:marLeft w:val="0"/>
                      <w:marRight w:val="0"/>
                      <w:marTop w:val="0"/>
                      <w:marBottom w:val="0"/>
                      <w:divBdr>
                        <w:top w:val="none" w:sz="0" w:space="0" w:color="auto"/>
                        <w:left w:val="none" w:sz="0" w:space="0" w:color="auto"/>
                        <w:bottom w:val="none" w:sz="0" w:space="0" w:color="auto"/>
                        <w:right w:val="none" w:sz="0" w:space="0" w:color="auto"/>
                      </w:divBdr>
                      <w:divsChild>
                        <w:div w:id="587467097">
                          <w:marLeft w:val="0"/>
                          <w:marRight w:val="0"/>
                          <w:marTop w:val="0"/>
                          <w:marBottom w:val="0"/>
                          <w:divBdr>
                            <w:top w:val="none" w:sz="0" w:space="0" w:color="auto"/>
                            <w:left w:val="none" w:sz="0" w:space="0" w:color="auto"/>
                            <w:bottom w:val="none" w:sz="0" w:space="0" w:color="auto"/>
                            <w:right w:val="none" w:sz="0" w:space="0" w:color="auto"/>
                          </w:divBdr>
                          <w:divsChild>
                            <w:div w:id="618226145">
                              <w:marLeft w:val="0"/>
                              <w:marRight w:val="0"/>
                              <w:marTop w:val="0"/>
                              <w:marBottom w:val="0"/>
                              <w:divBdr>
                                <w:top w:val="none" w:sz="0" w:space="0" w:color="auto"/>
                                <w:left w:val="none" w:sz="0" w:space="0" w:color="auto"/>
                                <w:bottom w:val="none" w:sz="0" w:space="0" w:color="auto"/>
                                <w:right w:val="none" w:sz="0" w:space="0" w:color="auto"/>
                              </w:divBdr>
                              <w:divsChild>
                                <w:div w:id="2035181242">
                                  <w:marLeft w:val="0"/>
                                  <w:marRight w:val="0"/>
                                  <w:marTop w:val="0"/>
                                  <w:marBottom w:val="0"/>
                                  <w:divBdr>
                                    <w:top w:val="none" w:sz="0" w:space="0" w:color="auto"/>
                                    <w:left w:val="none" w:sz="0" w:space="0" w:color="auto"/>
                                    <w:bottom w:val="none" w:sz="0" w:space="0" w:color="auto"/>
                                    <w:right w:val="none" w:sz="0" w:space="0" w:color="auto"/>
                                  </w:divBdr>
                                  <w:divsChild>
                                    <w:div w:id="20153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11371">
          <w:marLeft w:val="0"/>
          <w:marRight w:val="0"/>
          <w:marTop w:val="0"/>
          <w:marBottom w:val="0"/>
          <w:divBdr>
            <w:top w:val="none" w:sz="0" w:space="0" w:color="auto"/>
            <w:left w:val="none" w:sz="0" w:space="0" w:color="auto"/>
            <w:bottom w:val="none" w:sz="0" w:space="0" w:color="auto"/>
            <w:right w:val="none" w:sz="0" w:space="0" w:color="auto"/>
          </w:divBdr>
          <w:divsChild>
            <w:div w:id="110588117">
              <w:marLeft w:val="0"/>
              <w:marRight w:val="0"/>
              <w:marTop w:val="0"/>
              <w:marBottom w:val="0"/>
              <w:divBdr>
                <w:top w:val="none" w:sz="0" w:space="0" w:color="auto"/>
                <w:left w:val="none" w:sz="0" w:space="0" w:color="auto"/>
                <w:bottom w:val="none" w:sz="0" w:space="0" w:color="auto"/>
                <w:right w:val="none" w:sz="0" w:space="0" w:color="auto"/>
              </w:divBdr>
              <w:divsChild>
                <w:div w:id="178586671">
                  <w:marLeft w:val="0"/>
                  <w:marRight w:val="0"/>
                  <w:marTop w:val="0"/>
                  <w:marBottom w:val="0"/>
                  <w:divBdr>
                    <w:top w:val="none" w:sz="0" w:space="0" w:color="auto"/>
                    <w:left w:val="none" w:sz="0" w:space="0" w:color="auto"/>
                    <w:bottom w:val="none" w:sz="0" w:space="0" w:color="auto"/>
                    <w:right w:val="none" w:sz="0" w:space="0" w:color="auto"/>
                  </w:divBdr>
                  <w:divsChild>
                    <w:div w:id="724110954">
                      <w:marLeft w:val="0"/>
                      <w:marRight w:val="0"/>
                      <w:marTop w:val="0"/>
                      <w:marBottom w:val="0"/>
                      <w:divBdr>
                        <w:top w:val="none" w:sz="0" w:space="0" w:color="auto"/>
                        <w:left w:val="none" w:sz="0" w:space="0" w:color="auto"/>
                        <w:bottom w:val="none" w:sz="0" w:space="0" w:color="auto"/>
                        <w:right w:val="none" w:sz="0" w:space="0" w:color="auto"/>
                      </w:divBdr>
                      <w:divsChild>
                        <w:div w:id="708921503">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sChild>
                                <w:div w:id="486868342">
                                  <w:marLeft w:val="0"/>
                                  <w:marRight w:val="0"/>
                                  <w:marTop w:val="0"/>
                                  <w:marBottom w:val="0"/>
                                  <w:divBdr>
                                    <w:top w:val="none" w:sz="0" w:space="0" w:color="auto"/>
                                    <w:left w:val="none" w:sz="0" w:space="0" w:color="auto"/>
                                    <w:bottom w:val="none" w:sz="0" w:space="0" w:color="auto"/>
                                    <w:right w:val="none" w:sz="0" w:space="0" w:color="auto"/>
                                  </w:divBdr>
                                  <w:divsChild>
                                    <w:div w:id="578100590">
                                      <w:marLeft w:val="0"/>
                                      <w:marRight w:val="0"/>
                                      <w:marTop w:val="0"/>
                                      <w:marBottom w:val="0"/>
                                      <w:divBdr>
                                        <w:top w:val="none" w:sz="0" w:space="0" w:color="auto"/>
                                        <w:left w:val="none" w:sz="0" w:space="0" w:color="auto"/>
                                        <w:bottom w:val="none" w:sz="0" w:space="0" w:color="auto"/>
                                        <w:right w:val="none" w:sz="0" w:space="0" w:color="auto"/>
                                      </w:divBdr>
                                      <w:divsChild>
                                        <w:div w:id="1046217646">
                                          <w:marLeft w:val="0"/>
                                          <w:marRight w:val="0"/>
                                          <w:marTop w:val="0"/>
                                          <w:marBottom w:val="0"/>
                                          <w:divBdr>
                                            <w:top w:val="none" w:sz="0" w:space="0" w:color="auto"/>
                                            <w:left w:val="none" w:sz="0" w:space="0" w:color="auto"/>
                                            <w:bottom w:val="none" w:sz="0" w:space="0" w:color="auto"/>
                                            <w:right w:val="none" w:sz="0" w:space="0" w:color="auto"/>
                                          </w:divBdr>
                                          <w:divsChild>
                                            <w:div w:id="19549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3174">
              <w:marLeft w:val="0"/>
              <w:marRight w:val="0"/>
              <w:marTop w:val="0"/>
              <w:marBottom w:val="0"/>
              <w:divBdr>
                <w:top w:val="none" w:sz="0" w:space="0" w:color="auto"/>
                <w:left w:val="none" w:sz="0" w:space="0" w:color="auto"/>
                <w:bottom w:val="none" w:sz="0" w:space="0" w:color="auto"/>
                <w:right w:val="none" w:sz="0" w:space="0" w:color="auto"/>
              </w:divBdr>
              <w:divsChild>
                <w:div w:id="111637343">
                  <w:marLeft w:val="0"/>
                  <w:marRight w:val="0"/>
                  <w:marTop w:val="0"/>
                  <w:marBottom w:val="0"/>
                  <w:divBdr>
                    <w:top w:val="none" w:sz="0" w:space="0" w:color="auto"/>
                    <w:left w:val="none" w:sz="0" w:space="0" w:color="auto"/>
                    <w:bottom w:val="none" w:sz="0" w:space="0" w:color="auto"/>
                    <w:right w:val="none" w:sz="0" w:space="0" w:color="auto"/>
                  </w:divBdr>
                  <w:divsChild>
                    <w:div w:id="351995554">
                      <w:marLeft w:val="0"/>
                      <w:marRight w:val="0"/>
                      <w:marTop w:val="0"/>
                      <w:marBottom w:val="0"/>
                      <w:divBdr>
                        <w:top w:val="none" w:sz="0" w:space="0" w:color="auto"/>
                        <w:left w:val="none" w:sz="0" w:space="0" w:color="auto"/>
                        <w:bottom w:val="none" w:sz="0" w:space="0" w:color="auto"/>
                        <w:right w:val="none" w:sz="0" w:space="0" w:color="auto"/>
                      </w:divBdr>
                      <w:divsChild>
                        <w:div w:id="1237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05014128">
      <w:bodyDiv w:val="1"/>
      <w:marLeft w:val="0"/>
      <w:marRight w:val="0"/>
      <w:marTop w:val="0"/>
      <w:marBottom w:val="0"/>
      <w:divBdr>
        <w:top w:val="none" w:sz="0" w:space="0" w:color="auto"/>
        <w:left w:val="none" w:sz="0" w:space="0" w:color="auto"/>
        <w:bottom w:val="none" w:sz="0" w:space="0" w:color="auto"/>
        <w:right w:val="none" w:sz="0" w:space="0" w:color="auto"/>
      </w:divBdr>
      <w:divsChild>
        <w:div w:id="10455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394358573">
      <w:bodyDiv w:val="1"/>
      <w:marLeft w:val="0"/>
      <w:marRight w:val="0"/>
      <w:marTop w:val="0"/>
      <w:marBottom w:val="0"/>
      <w:divBdr>
        <w:top w:val="none" w:sz="0" w:space="0" w:color="auto"/>
        <w:left w:val="none" w:sz="0" w:space="0" w:color="auto"/>
        <w:bottom w:val="none" w:sz="0" w:space="0" w:color="auto"/>
        <w:right w:val="none" w:sz="0" w:space="0" w:color="auto"/>
      </w:divBdr>
    </w:div>
    <w:div w:id="401953996">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10681574">
      <w:bodyDiv w:val="1"/>
      <w:marLeft w:val="0"/>
      <w:marRight w:val="0"/>
      <w:marTop w:val="0"/>
      <w:marBottom w:val="0"/>
      <w:divBdr>
        <w:top w:val="none" w:sz="0" w:space="0" w:color="auto"/>
        <w:left w:val="none" w:sz="0" w:space="0" w:color="auto"/>
        <w:bottom w:val="none" w:sz="0" w:space="0" w:color="auto"/>
        <w:right w:val="none" w:sz="0" w:space="0" w:color="auto"/>
      </w:divBdr>
    </w:div>
    <w:div w:id="518197890">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6056106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839085">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21442705">
      <w:bodyDiv w:val="1"/>
      <w:marLeft w:val="0"/>
      <w:marRight w:val="0"/>
      <w:marTop w:val="0"/>
      <w:marBottom w:val="0"/>
      <w:divBdr>
        <w:top w:val="none" w:sz="0" w:space="0" w:color="auto"/>
        <w:left w:val="none" w:sz="0" w:space="0" w:color="auto"/>
        <w:bottom w:val="none" w:sz="0" w:space="0" w:color="auto"/>
        <w:right w:val="none" w:sz="0" w:space="0" w:color="auto"/>
      </w:divBdr>
    </w:div>
    <w:div w:id="729691009">
      <w:bodyDiv w:val="1"/>
      <w:marLeft w:val="0"/>
      <w:marRight w:val="0"/>
      <w:marTop w:val="0"/>
      <w:marBottom w:val="0"/>
      <w:divBdr>
        <w:top w:val="none" w:sz="0" w:space="0" w:color="auto"/>
        <w:left w:val="none" w:sz="0" w:space="0" w:color="auto"/>
        <w:bottom w:val="none" w:sz="0" w:space="0" w:color="auto"/>
        <w:right w:val="none" w:sz="0" w:space="0" w:color="auto"/>
      </w:divBdr>
    </w:div>
    <w:div w:id="748623407">
      <w:bodyDiv w:val="1"/>
      <w:marLeft w:val="0"/>
      <w:marRight w:val="0"/>
      <w:marTop w:val="0"/>
      <w:marBottom w:val="0"/>
      <w:divBdr>
        <w:top w:val="none" w:sz="0" w:space="0" w:color="auto"/>
        <w:left w:val="none" w:sz="0" w:space="0" w:color="auto"/>
        <w:bottom w:val="none" w:sz="0" w:space="0" w:color="auto"/>
        <w:right w:val="none" w:sz="0" w:space="0" w:color="auto"/>
      </w:divBdr>
    </w:div>
    <w:div w:id="784229264">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1292447">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05971629">
      <w:bodyDiv w:val="1"/>
      <w:marLeft w:val="0"/>
      <w:marRight w:val="0"/>
      <w:marTop w:val="0"/>
      <w:marBottom w:val="0"/>
      <w:divBdr>
        <w:top w:val="none" w:sz="0" w:space="0" w:color="auto"/>
        <w:left w:val="none" w:sz="0" w:space="0" w:color="auto"/>
        <w:bottom w:val="none" w:sz="0" w:space="0" w:color="auto"/>
        <w:right w:val="none" w:sz="0" w:space="0" w:color="auto"/>
      </w:divBdr>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82330994">
      <w:bodyDiv w:val="1"/>
      <w:marLeft w:val="0"/>
      <w:marRight w:val="0"/>
      <w:marTop w:val="0"/>
      <w:marBottom w:val="0"/>
      <w:divBdr>
        <w:top w:val="none" w:sz="0" w:space="0" w:color="auto"/>
        <w:left w:val="none" w:sz="0" w:space="0" w:color="auto"/>
        <w:bottom w:val="none" w:sz="0" w:space="0" w:color="auto"/>
        <w:right w:val="none" w:sz="0" w:space="0" w:color="auto"/>
      </w:divBdr>
      <w:divsChild>
        <w:div w:id="1701511441">
          <w:marLeft w:val="0"/>
          <w:marRight w:val="0"/>
          <w:marTop w:val="240"/>
          <w:marBottom w:val="240"/>
          <w:divBdr>
            <w:top w:val="none" w:sz="0" w:space="0" w:color="auto"/>
            <w:left w:val="none" w:sz="0" w:space="0" w:color="auto"/>
            <w:bottom w:val="none" w:sz="0" w:space="0" w:color="auto"/>
            <w:right w:val="none" w:sz="0" w:space="0" w:color="auto"/>
          </w:divBdr>
        </w:div>
        <w:div w:id="1729718678">
          <w:marLeft w:val="0"/>
          <w:marRight w:val="0"/>
          <w:marTop w:val="240"/>
          <w:marBottom w:val="240"/>
          <w:divBdr>
            <w:top w:val="none" w:sz="0" w:space="0" w:color="auto"/>
            <w:left w:val="none" w:sz="0" w:space="0" w:color="auto"/>
            <w:bottom w:val="none" w:sz="0" w:space="0" w:color="auto"/>
            <w:right w:val="none" w:sz="0" w:space="0" w:color="auto"/>
          </w:divBdr>
        </w:div>
      </w:divsChild>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08273370">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39799517">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954941542">
      <w:bodyDiv w:val="1"/>
      <w:marLeft w:val="0"/>
      <w:marRight w:val="0"/>
      <w:marTop w:val="0"/>
      <w:marBottom w:val="0"/>
      <w:divBdr>
        <w:top w:val="none" w:sz="0" w:space="0" w:color="auto"/>
        <w:left w:val="none" w:sz="0" w:space="0" w:color="auto"/>
        <w:bottom w:val="none" w:sz="0" w:space="0" w:color="auto"/>
        <w:right w:val="none" w:sz="0" w:space="0" w:color="auto"/>
      </w:divBdr>
    </w:div>
    <w:div w:id="956132925">
      <w:bodyDiv w:val="1"/>
      <w:marLeft w:val="0"/>
      <w:marRight w:val="0"/>
      <w:marTop w:val="0"/>
      <w:marBottom w:val="0"/>
      <w:divBdr>
        <w:top w:val="none" w:sz="0" w:space="0" w:color="auto"/>
        <w:left w:val="none" w:sz="0" w:space="0" w:color="auto"/>
        <w:bottom w:val="none" w:sz="0" w:space="0" w:color="auto"/>
        <w:right w:val="none" w:sz="0" w:space="0" w:color="auto"/>
      </w:divBdr>
    </w:div>
    <w:div w:id="1006130929">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40398686">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01687159">
      <w:bodyDiv w:val="1"/>
      <w:marLeft w:val="0"/>
      <w:marRight w:val="0"/>
      <w:marTop w:val="0"/>
      <w:marBottom w:val="0"/>
      <w:divBdr>
        <w:top w:val="none" w:sz="0" w:space="0" w:color="auto"/>
        <w:left w:val="none" w:sz="0" w:space="0" w:color="auto"/>
        <w:bottom w:val="none" w:sz="0" w:space="0" w:color="auto"/>
        <w:right w:val="none" w:sz="0" w:space="0" w:color="auto"/>
      </w:divBdr>
      <w:divsChild>
        <w:div w:id="1124496188">
          <w:marLeft w:val="0"/>
          <w:marRight w:val="0"/>
          <w:marTop w:val="240"/>
          <w:marBottom w:val="240"/>
          <w:divBdr>
            <w:top w:val="none" w:sz="0" w:space="0" w:color="auto"/>
            <w:left w:val="none" w:sz="0" w:space="0" w:color="auto"/>
            <w:bottom w:val="none" w:sz="0" w:space="0" w:color="auto"/>
            <w:right w:val="none" w:sz="0" w:space="0" w:color="auto"/>
          </w:divBdr>
        </w:div>
        <w:div w:id="1663658026">
          <w:marLeft w:val="0"/>
          <w:marRight w:val="0"/>
          <w:marTop w:val="240"/>
          <w:marBottom w:val="240"/>
          <w:divBdr>
            <w:top w:val="none" w:sz="0" w:space="0" w:color="auto"/>
            <w:left w:val="none" w:sz="0" w:space="0" w:color="auto"/>
            <w:bottom w:val="none" w:sz="0" w:space="0" w:color="auto"/>
            <w:right w:val="none" w:sz="0" w:space="0" w:color="auto"/>
          </w:divBdr>
        </w:div>
      </w:divsChild>
    </w:div>
    <w:div w:id="1104494517">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51599094">
      <w:bodyDiv w:val="1"/>
      <w:marLeft w:val="0"/>
      <w:marRight w:val="0"/>
      <w:marTop w:val="0"/>
      <w:marBottom w:val="0"/>
      <w:divBdr>
        <w:top w:val="none" w:sz="0" w:space="0" w:color="auto"/>
        <w:left w:val="none" w:sz="0" w:space="0" w:color="auto"/>
        <w:bottom w:val="none" w:sz="0" w:space="0" w:color="auto"/>
        <w:right w:val="none" w:sz="0" w:space="0" w:color="auto"/>
      </w:divBdr>
      <w:divsChild>
        <w:div w:id="961570301">
          <w:marLeft w:val="0"/>
          <w:marRight w:val="0"/>
          <w:marTop w:val="240"/>
          <w:marBottom w:val="240"/>
          <w:divBdr>
            <w:top w:val="none" w:sz="0" w:space="0" w:color="auto"/>
            <w:left w:val="none" w:sz="0" w:space="0" w:color="auto"/>
            <w:bottom w:val="none" w:sz="0" w:space="0" w:color="auto"/>
            <w:right w:val="none" w:sz="0" w:space="0" w:color="auto"/>
          </w:divBdr>
        </w:div>
        <w:div w:id="1323392182">
          <w:marLeft w:val="0"/>
          <w:marRight w:val="0"/>
          <w:marTop w:val="240"/>
          <w:marBottom w:val="240"/>
          <w:divBdr>
            <w:top w:val="none" w:sz="0" w:space="0" w:color="auto"/>
            <w:left w:val="none" w:sz="0" w:space="0" w:color="auto"/>
            <w:bottom w:val="none" w:sz="0" w:space="0" w:color="auto"/>
            <w:right w:val="none" w:sz="0" w:space="0" w:color="auto"/>
          </w:divBdr>
        </w:div>
      </w:divsChild>
    </w:div>
    <w:div w:id="1157921862">
      <w:bodyDiv w:val="1"/>
      <w:marLeft w:val="0"/>
      <w:marRight w:val="0"/>
      <w:marTop w:val="0"/>
      <w:marBottom w:val="0"/>
      <w:divBdr>
        <w:top w:val="none" w:sz="0" w:space="0" w:color="auto"/>
        <w:left w:val="none" w:sz="0" w:space="0" w:color="auto"/>
        <w:bottom w:val="none" w:sz="0" w:space="0" w:color="auto"/>
        <w:right w:val="none" w:sz="0" w:space="0" w:color="auto"/>
      </w:divBdr>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73108461">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189097617">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1237707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296106387">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333797966">
      <w:bodyDiv w:val="1"/>
      <w:marLeft w:val="0"/>
      <w:marRight w:val="0"/>
      <w:marTop w:val="0"/>
      <w:marBottom w:val="0"/>
      <w:divBdr>
        <w:top w:val="none" w:sz="0" w:space="0" w:color="auto"/>
        <w:left w:val="none" w:sz="0" w:space="0" w:color="auto"/>
        <w:bottom w:val="none" w:sz="0" w:space="0" w:color="auto"/>
        <w:right w:val="none" w:sz="0" w:space="0" w:color="auto"/>
      </w:divBdr>
    </w:div>
    <w:div w:id="1335955779">
      <w:bodyDiv w:val="1"/>
      <w:marLeft w:val="0"/>
      <w:marRight w:val="0"/>
      <w:marTop w:val="0"/>
      <w:marBottom w:val="0"/>
      <w:divBdr>
        <w:top w:val="none" w:sz="0" w:space="0" w:color="auto"/>
        <w:left w:val="none" w:sz="0" w:space="0" w:color="auto"/>
        <w:bottom w:val="none" w:sz="0" w:space="0" w:color="auto"/>
        <w:right w:val="none" w:sz="0" w:space="0" w:color="auto"/>
      </w:divBdr>
      <w:divsChild>
        <w:div w:id="1080178498">
          <w:marLeft w:val="0"/>
          <w:marRight w:val="0"/>
          <w:marTop w:val="0"/>
          <w:marBottom w:val="0"/>
          <w:divBdr>
            <w:top w:val="none" w:sz="0" w:space="0" w:color="auto"/>
            <w:left w:val="none" w:sz="0" w:space="0" w:color="auto"/>
            <w:bottom w:val="none" w:sz="0" w:space="0" w:color="auto"/>
            <w:right w:val="none" w:sz="0" w:space="0" w:color="auto"/>
          </w:divBdr>
        </w:div>
        <w:div w:id="1721904404">
          <w:marLeft w:val="0"/>
          <w:marRight w:val="0"/>
          <w:marTop w:val="240"/>
          <w:marBottom w:val="240"/>
          <w:divBdr>
            <w:top w:val="none" w:sz="0" w:space="0" w:color="auto"/>
            <w:left w:val="none" w:sz="0" w:space="0" w:color="auto"/>
            <w:bottom w:val="none" w:sz="0" w:space="0" w:color="auto"/>
            <w:right w:val="none" w:sz="0" w:space="0" w:color="auto"/>
          </w:divBdr>
        </w:div>
        <w:div w:id="2129155682">
          <w:marLeft w:val="0"/>
          <w:marRight w:val="0"/>
          <w:marTop w:val="240"/>
          <w:marBottom w:val="240"/>
          <w:divBdr>
            <w:top w:val="none" w:sz="0" w:space="0" w:color="auto"/>
            <w:left w:val="none" w:sz="0" w:space="0" w:color="auto"/>
            <w:bottom w:val="none" w:sz="0" w:space="0" w:color="auto"/>
            <w:right w:val="none" w:sz="0" w:space="0" w:color="auto"/>
          </w:divBdr>
        </w:div>
        <w:div w:id="147022743">
          <w:marLeft w:val="0"/>
          <w:marRight w:val="0"/>
          <w:marTop w:val="240"/>
          <w:marBottom w:val="240"/>
          <w:divBdr>
            <w:top w:val="none" w:sz="0" w:space="0" w:color="auto"/>
            <w:left w:val="none" w:sz="0" w:space="0" w:color="auto"/>
            <w:bottom w:val="none" w:sz="0" w:space="0" w:color="auto"/>
            <w:right w:val="none" w:sz="0" w:space="0" w:color="auto"/>
          </w:divBdr>
        </w:div>
      </w:divsChild>
    </w:div>
    <w:div w:id="1336498322">
      <w:bodyDiv w:val="1"/>
      <w:marLeft w:val="0"/>
      <w:marRight w:val="0"/>
      <w:marTop w:val="0"/>
      <w:marBottom w:val="0"/>
      <w:divBdr>
        <w:top w:val="none" w:sz="0" w:space="0" w:color="auto"/>
        <w:left w:val="none" w:sz="0" w:space="0" w:color="auto"/>
        <w:bottom w:val="none" w:sz="0" w:space="0" w:color="auto"/>
        <w:right w:val="none" w:sz="0" w:space="0" w:color="auto"/>
      </w:divBdr>
    </w:div>
    <w:div w:id="1339623026">
      <w:bodyDiv w:val="1"/>
      <w:marLeft w:val="0"/>
      <w:marRight w:val="0"/>
      <w:marTop w:val="0"/>
      <w:marBottom w:val="0"/>
      <w:divBdr>
        <w:top w:val="none" w:sz="0" w:space="0" w:color="auto"/>
        <w:left w:val="none" w:sz="0" w:space="0" w:color="auto"/>
        <w:bottom w:val="none" w:sz="0" w:space="0" w:color="auto"/>
        <w:right w:val="none" w:sz="0" w:space="0" w:color="auto"/>
      </w:divBdr>
    </w:div>
    <w:div w:id="1352872129">
      <w:bodyDiv w:val="1"/>
      <w:marLeft w:val="0"/>
      <w:marRight w:val="0"/>
      <w:marTop w:val="0"/>
      <w:marBottom w:val="0"/>
      <w:divBdr>
        <w:top w:val="none" w:sz="0" w:space="0" w:color="auto"/>
        <w:left w:val="none" w:sz="0" w:space="0" w:color="auto"/>
        <w:bottom w:val="none" w:sz="0" w:space="0" w:color="auto"/>
        <w:right w:val="none" w:sz="0" w:space="0" w:color="auto"/>
      </w:divBdr>
    </w:div>
    <w:div w:id="1377462579">
      <w:bodyDiv w:val="1"/>
      <w:marLeft w:val="0"/>
      <w:marRight w:val="0"/>
      <w:marTop w:val="0"/>
      <w:marBottom w:val="0"/>
      <w:divBdr>
        <w:top w:val="none" w:sz="0" w:space="0" w:color="auto"/>
        <w:left w:val="none" w:sz="0" w:space="0" w:color="auto"/>
        <w:bottom w:val="none" w:sz="0" w:space="0" w:color="auto"/>
        <w:right w:val="none" w:sz="0" w:space="0" w:color="auto"/>
      </w:divBdr>
    </w:div>
    <w:div w:id="1421558214">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09254426">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32574538">
      <w:bodyDiv w:val="1"/>
      <w:marLeft w:val="0"/>
      <w:marRight w:val="0"/>
      <w:marTop w:val="0"/>
      <w:marBottom w:val="0"/>
      <w:divBdr>
        <w:top w:val="none" w:sz="0" w:space="0" w:color="auto"/>
        <w:left w:val="none" w:sz="0" w:space="0" w:color="auto"/>
        <w:bottom w:val="none" w:sz="0" w:space="0" w:color="auto"/>
        <w:right w:val="none" w:sz="0" w:space="0" w:color="auto"/>
      </w:divBdr>
      <w:divsChild>
        <w:div w:id="488793813">
          <w:marLeft w:val="0"/>
          <w:marRight w:val="0"/>
          <w:marTop w:val="240"/>
          <w:marBottom w:val="240"/>
          <w:divBdr>
            <w:top w:val="none" w:sz="0" w:space="0" w:color="auto"/>
            <w:left w:val="none" w:sz="0" w:space="0" w:color="auto"/>
            <w:bottom w:val="none" w:sz="0" w:space="0" w:color="auto"/>
            <w:right w:val="none" w:sz="0" w:space="0" w:color="auto"/>
          </w:divBdr>
        </w:div>
        <w:div w:id="451940375">
          <w:marLeft w:val="0"/>
          <w:marRight w:val="0"/>
          <w:marTop w:val="240"/>
          <w:marBottom w:val="240"/>
          <w:divBdr>
            <w:top w:val="none" w:sz="0" w:space="0" w:color="auto"/>
            <w:left w:val="none" w:sz="0" w:space="0" w:color="auto"/>
            <w:bottom w:val="none" w:sz="0" w:space="0" w:color="auto"/>
            <w:right w:val="none" w:sz="0" w:space="0" w:color="auto"/>
          </w:divBdr>
        </w:div>
      </w:divsChild>
    </w:div>
    <w:div w:id="1535997851">
      <w:bodyDiv w:val="1"/>
      <w:marLeft w:val="0"/>
      <w:marRight w:val="0"/>
      <w:marTop w:val="0"/>
      <w:marBottom w:val="0"/>
      <w:divBdr>
        <w:top w:val="none" w:sz="0" w:space="0" w:color="auto"/>
        <w:left w:val="none" w:sz="0" w:space="0" w:color="auto"/>
        <w:bottom w:val="none" w:sz="0" w:space="0" w:color="auto"/>
        <w:right w:val="none" w:sz="0" w:space="0" w:color="auto"/>
      </w:divBdr>
      <w:divsChild>
        <w:div w:id="203183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22648">
      <w:bodyDiv w:val="1"/>
      <w:marLeft w:val="0"/>
      <w:marRight w:val="0"/>
      <w:marTop w:val="0"/>
      <w:marBottom w:val="0"/>
      <w:divBdr>
        <w:top w:val="none" w:sz="0" w:space="0" w:color="auto"/>
        <w:left w:val="none" w:sz="0" w:space="0" w:color="auto"/>
        <w:bottom w:val="none" w:sz="0" w:space="0" w:color="auto"/>
        <w:right w:val="none" w:sz="0" w:space="0" w:color="auto"/>
      </w:divBdr>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598439166">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553120">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7876">
      <w:bodyDiv w:val="1"/>
      <w:marLeft w:val="0"/>
      <w:marRight w:val="0"/>
      <w:marTop w:val="0"/>
      <w:marBottom w:val="0"/>
      <w:divBdr>
        <w:top w:val="none" w:sz="0" w:space="0" w:color="auto"/>
        <w:left w:val="none" w:sz="0" w:space="0" w:color="auto"/>
        <w:bottom w:val="none" w:sz="0" w:space="0" w:color="auto"/>
        <w:right w:val="none" w:sz="0" w:space="0" w:color="auto"/>
      </w:divBdr>
    </w:div>
    <w:div w:id="1694960449">
      <w:bodyDiv w:val="1"/>
      <w:marLeft w:val="0"/>
      <w:marRight w:val="0"/>
      <w:marTop w:val="0"/>
      <w:marBottom w:val="0"/>
      <w:divBdr>
        <w:top w:val="none" w:sz="0" w:space="0" w:color="auto"/>
        <w:left w:val="none" w:sz="0" w:space="0" w:color="auto"/>
        <w:bottom w:val="none" w:sz="0" w:space="0" w:color="auto"/>
        <w:right w:val="none" w:sz="0" w:space="0" w:color="auto"/>
      </w:divBdr>
    </w:div>
    <w:div w:id="1695617615">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23291582">
      <w:bodyDiv w:val="1"/>
      <w:marLeft w:val="0"/>
      <w:marRight w:val="0"/>
      <w:marTop w:val="0"/>
      <w:marBottom w:val="0"/>
      <w:divBdr>
        <w:top w:val="none" w:sz="0" w:space="0" w:color="auto"/>
        <w:left w:val="none" w:sz="0" w:space="0" w:color="auto"/>
        <w:bottom w:val="none" w:sz="0" w:space="0" w:color="auto"/>
        <w:right w:val="none" w:sz="0" w:space="0" w:color="auto"/>
      </w:divBdr>
    </w:div>
    <w:div w:id="1733848696">
      <w:bodyDiv w:val="1"/>
      <w:marLeft w:val="0"/>
      <w:marRight w:val="0"/>
      <w:marTop w:val="0"/>
      <w:marBottom w:val="0"/>
      <w:divBdr>
        <w:top w:val="none" w:sz="0" w:space="0" w:color="auto"/>
        <w:left w:val="none" w:sz="0" w:space="0" w:color="auto"/>
        <w:bottom w:val="none" w:sz="0" w:space="0" w:color="auto"/>
        <w:right w:val="none" w:sz="0" w:space="0" w:color="auto"/>
      </w:divBdr>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76833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15219058">
      <w:bodyDiv w:val="1"/>
      <w:marLeft w:val="0"/>
      <w:marRight w:val="0"/>
      <w:marTop w:val="0"/>
      <w:marBottom w:val="0"/>
      <w:divBdr>
        <w:top w:val="none" w:sz="0" w:space="0" w:color="auto"/>
        <w:left w:val="none" w:sz="0" w:space="0" w:color="auto"/>
        <w:bottom w:val="none" w:sz="0" w:space="0" w:color="auto"/>
        <w:right w:val="none" w:sz="0" w:space="0" w:color="auto"/>
      </w:divBdr>
    </w:div>
    <w:div w:id="1817914027">
      <w:bodyDiv w:val="1"/>
      <w:marLeft w:val="0"/>
      <w:marRight w:val="0"/>
      <w:marTop w:val="0"/>
      <w:marBottom w:val="0"/>
      <w:divBdr>
        <w:top w:val="none" w:sz="0" w:space="0" w:color="auto"/>
        <w:left w:val="none" w:sz="0" w:space="0" w:color="auto"/>
        <w:bottom w:val="none" w:sz="0" w:space="0" w:color="auto"/>
        <w:right w:val="none" w:sz="0" w:space="0" w:color="auto"/>
      </w:divBdr>
    </w:div>
    <w:div w:id="1840926542">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882578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5043290">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71805407">
      <w:bodyDiv w:val="1"/>
      <w:marLeft w:val="0"/>
      <w:marRight w:val="0"/>
      <w:marTop w:val="0"/>
      <w:marBottom w:val="0"/>
      <w:divBdr>
        <w:top w:val="none" w:sz="0" w:space="0" w:color="auto"/>
        <w:left w:val="none" w:sz="0" w:space="0" w:color="auto"/>
        <w:bottom w:val="none" w:sz="0" w:space="0" w:color="auto"/>
        <w:right w:val="none" w:sz="0" w:space="0" w:color="auto"/>
      </w:divBdr>
      <w:divsChild>
        <w:div w:id="137384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0267">
      <w:bodyDiv w:val="1"/>
      <w:marLeft w:val="0"/>
      <w:marRight w:val="0"/>
      <w:marTop w:val="0"/>
      <w:marBottom w:val="0"/>
      <w:divBdr>
        <w:top w:val="none" w:sz="0" w:space="0" w:color="auto"/>
        <w:left w:val="none" w:sz="0" w:space="0" w:color="auto"/>
        <w:bottom w:val="none" w:sz="0" w:space="0" w:color="auto"/>
        <w:right w:val="none" w:sz="0" w:space="0" w:color="auto"/>
      </w:divBdr>
    </w:div>
    <w:div w:id="2096240078">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r>
              <a:rPr lang="en-US" sz="1200" b="1" i="0" u="none" strike="noStrike" kern="1200" baseline="0">
                <a:solidFill>
                  <a:sysClr val="windowText" lastClr="000000">
                    <a:lumMod val="75000"/>
                    <a:lumOff val="25000"/>
                  </a:sysClr>
                </a:solidFill>
              </a:rPr>
              <a:t>TIPOS DE PQRSD TRAMITADAS EN ABRIL  2026</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tx>
            <c:strRef>
              <c:f>Hoja1!$B$38</c:f>
              <c:strCache>
                <c:ptCount val="1"/>
                <c:pt idx="0">
                  <c:v>NUMERO DE PQRSD RECIBIDAS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3"/>
              <c:layout>
                <c:manualLayout>
                  <c:x val="-7.3538393692534258E-17"/>
                  <c:y val="-1.55303539276021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28-4CD5-A436-C73F41B1D63B}"/>
                </c:ext>
              </c:extLst>
            </c:dLbl>
            <c:dLbl>
              <c:idx val="4"/>
              <c:layout>
                <c:manualLayout>
                  <c:x val="-6.2919336070523523E-17"/>
                  <c:y val="1.32402643407161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28-4CD5-A436-C73F41B1D63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Hoja1!$A$39:$A$46</c:f>
              <c:strCache>
                <c:ptCount val="8"/>
                <c:pt idx="0">
                  <c:v>Derecho de Petición de interes general o particular</c:v>
                </c:pt>
                <c:pt idx="1">
                  <c:v>Información</c:v>
                </c:pt>
                <c:pt idx="2">
                  <c:v>Entidades Públicas</c:v>
                </c:pt>
                <c:pt idx="3">
                  <c:v>Denuncia</c:v>
                </c:pt>
                <c:pt idx="4">
                  <c:v>Entes de control</c:v>
                </c:pt>
                <c:pt idx="5">
                  <c:v>Congreso de la Republica</c:v>
                </c:pt>
                <c:pt idx="6">
                  <c:v>Consulta</c:v>
                </c:pt>
                <c:pt idx="7">
                  <c:v>Queja</c:v>
                </c:pt>
              </c:strCache>
            </c:strRef>
          </c:cat>
          <c:val>
            <c:numRef>
              <c:f>Hoja1!$B$39:$B$46</c:f>
              <c:numCache>
                <c:formatCode>General</c:formatCode>
                <c:ptCount val="8"/>
                <c:pt idx="0">
                  <c:v>36</c:v>
                </c:pt>
                <c:pt idx="1">
                  <c:v>17</c:v>
                </c:pt>
                <c:pt idx="2">
                  <c:v>11</c:v>
                </c:pt>
                <c:pt idx="3">
                  <c:v>4</c:v>
                </c:pt>
                <c:pt idx="4">
                  <c:v>2</c:v>
                </c:pt>
                <c:pt idx="5">
                  <c:v>1</c:v>
                </c:pt>
                <c:pt idx="6">
                  <c:v>1</c:v>
                </c:pt>
                <c:pt idx="7">
                  <c:v>1</c:v>
                </c:pt>
              </c:numCache>
            </c:numRef>
          </c:val>
          <c:extLst>
            <c:ext xmlns:c16="http://schemas.microsoft.com/office/drawing/2014/chart" uri="{C3380CC4-5D6E-409C-BE32-E72D297353CC}">
              <c16:uniqueId val="{00000001-3B28-4CD5-A436-C73F41B1D63B}"/>
            </c:ext>
          </c:extLst>
        </c:ser>
        <c:dLbls>
          <c:dLblPos val="inEnd"/>
          <c:showLegendKey val="0"/>
          <c:showVal val="1"/>
          <c:showCatName val="0"/>
          <c:showSerName val="0"/>
          <c:showPercent val="0"/>
          <c:showBubbleSize val="0"/>
        </c:dLbls>
        <c:gapWidth val="41"/>
        <c:axId val="1725609792"/>
        <c:axId val="1725610752"/>
      </c:barChart>
      <c:catAx>
        <c:axId val="1725609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s-CO"/>
          </a:p>
        </c:txPr>
        <c:crossAx val="1725610752"/>
        <c:crosses val="autoZero"/>
        <c:auto val="1"/>
        <c:lblAlgn val="ctr"/>
        <c:lblOffset val="100"/>
        <c:noMultiLvlLbl val="0"/>
      </c:catAx>
      <c:valAx>
        <c:axId val="1725610752"/>
        <c:scaling>
          <c:orientation val="minMax"/>
        </c:scaling>
        <c:delete val="1"/>
        <c:axPos val="l"/>
        <c:numFmt formatCode="General" sourceLinked="1"/>
        <c:majorTickMark val="none"/>
        <c:minorTickMark val="none"/>
        <c:tickLblPos val="nextTo"/>
        <c:crossAx val="172560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sz="1200" b="1">
                <a:latin typeface="Arial Narrow" panose="020B0606020202030204" pitchFamily="34" charset="0"/>
              </a:rPr>
              <a:t>PQRS</a:t>
            </a:r>
            <a:r>
              <a:rPr lang="es-CO" sz="1200" b="1" baseline="0">
                <a:latin typeface="Arial Narrow" panose="020B0606020202030204" pitchFamily="34" charset="0"/>
              </a:rPr>
              <a:t> RECIBIDAS POR DIRECCIONES DURANTE ABRIL 2026</a:t>
            </a:r>
            <a:endParaRPr lang="es-CO" sz="1200" b="1">
              <a:latin typeface="Arial Narrow" panose="020B0606020202030204" pitchFamily="34" charset="0"/>
            </a:endParaRPr>
          </a:p>
        </c:rich>
      </c:tx>
      <c:layout>
        <c:manualLayout>
          <c:xMode val="edge"/>
          <c:yMode val="edge"/>
          <c:x val="0.11537296556342008"/>
          <c:y val="8.7861603148880391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Hoja1!$A$68:$A$73</c:f>
              <c:strCache>
                <c:ptCount val="6"/>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pt idx="5">
                  <c:v>TOTAL GENERAL </c:v>
                </c:pt>
              </c:strCache>
            </c:strRef>
          </c:cat>
          <c:val>
            <c:numRef>
              <c:f>Hoja1!$B$68:$B$73</c:f>
              <c:numCache>
                <c:formatCode>General</c:formatCode>
                <c:ptCount val="6"/>
                <c:pt idx="0">
                  <c:v>39</c:v>
                </c:pt>
                <c:pt idx="1">
                  <c:v>11</c:v>
                </c:pt>
                <c:pt idx="2">
                  <c:v>11</c:v>
                </c:pt>
                <c:pt idx="3">
                  <c:v>9</c:v>
                </c:pt>
                <c:pt idx="4">
                  <c:v>3</c:v>
                </c:pt>
                <c:pt idx="5">
                  <c:v>73</c:v>
                </c:pt>
              </c:numCache>
            </c:numRef>
          </c:val>
          <c:extLst>
            <c:ext xmlns:c16="http://schemas.microsoft.com/office/drawing/2014/chart" uri="{C3380CC4-5D6E-409C-BE32-E72D297353CC}">
              <c16:uniqueId val="{00000000-66F7-4300-B971-820E63BBCAFE}"/>
            </c:ext>
          </c:extLst>
        </c:ser>
        <c:dLbls>
          <c:dLblPos val="inEnd"/>
          <c:showLegendKey val="0"/>
          <c:showVal val="1"/>
          <c:showCatName val="0"/>
          <c:showSerName val="0"/>
          <c:showPercent val="0"/>
          <c:showBubbleSize val="0"/>
        </c:dLbls>
        <c:gapWidth val="41"/>
        <c:axId val="1607853168"/>
        <c:axId val="1607855568"/>
      </c:barChart>
      <c:catAx>
        <c:axId val="1607853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mn-lt"/>
                <a:ea typeface="+mn-ea"/>
                <a:cs typeface="+mn-cs"/>
              </a:defRPr>
            </a:pPr>
            <a:endParaRPr lang="es-CO"/>
          </a:p>
        </c:txPr>
        <c:crossAx val="1607855568"/>
        <c:crosses val="autoZero"/>
        <c:auto val="1"/>
        <c:lblAlgn val="ctr"/>
        <c:lblOffset val="100"/>
        <c:noMultiLvlLbl val="0"/>
      </c:catAx>
      <c:valAx>
        <c:axId val="1607855568"/>
        <c:scaling>
          <c:orientation val="minMax"/>
        </c:scaling>
        <c:delete val="1"/>
        <c:axPos val="l"/>
        <c:numFmt formatCode="General" sourceLinked="1"/>
        <c:majorTickMark val="none"/>
        <c:minorTickMark val="none"/>
        <c:tickLblPos val="nextTo"/>
        <c:crossAx val="160785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Hoja1!$B$105</c:f>
              <c:strCache>
                <c:ptCount val="1"/>
                <c:pt idx="0">
                  <c:v>NO DE PQRSD TRASLADADAS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Hoja1!$A$106:$A$107</c:f>
              <c:strCache>
                <c:ptCount val="2"/>
                <c:pt idx="0">
                  <c:v>DIRECCIÓN DE COORDINACIÓN INTERINSTITUCIONAL DE COOPERACIÓN</c:v>
                </c:pt>
                <c:pt idx="1">
                  <c:v>TOTAL GENERAL</c:v>
                </c:pt>
              </c:strCache>
            </c:strRef>
          </c:cat>
          <c:val>
            <c:numRef>
              <c:f>Hoja1!$B$106:$B$107</c:f>
              <c:numCache>
                <c:formatCode>General</c:formatCode>
                <c:ptCount val="2"/>
                <c:pt idx="0">
                  <c:v>5</c:v>
                </c:pt>
                <c:pt idx="1">
                  <c:v>5</c:v>
                </c:pt>
              </c:numCache>
            </c:numRef>
          </c:val>
          <c:extLst>
            <c:ext xmlns:c16="http://schemas.microsoft.com/office/drawing/2014/chart" uri="{C3380CC4-5D6E-409C-BE32-E72D297353CC}">
              <c16:uniqueId val="{00000000-4C63-4FEB-8D0E-25EA648947BC}"/>
            </c:ext>
          </c:extLst>
        </c:ser>
        <c:dLbls>
          <c:dLblPos val="inEnd"/>
          <c:showLegendKey val="0"/>
          <c:showVal val="1"/>
          <c:showCatName val="0"/>
          <c:showSerName val="0"/>
          <c:showPercent val="0"/>
          <c:showBubbleSize val="0"/>
        </c:dLbls>
        <c:gapWidth val="65"/>
        <c:axId val="1618440480"/>
        <c:axId val="1618440960"/>
      </c:barChart>
      <c:catAx>
        <c:axId val="16184404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CO"/>
          </a:p>
        </c:txPr>
        <c:crossAx val="1618440960"/>
        <c:crosses val="autoZero"/>
        <c:auto val="1"/>
        <c:lblAlgn val="ctr"/>
        <c:lblOffset val="100"/>
        <c:noMultiLvlLbl val="0"/>
      </c:catAx>
      <c:valAx>
        <c:axId val="16184409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184404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0.29483</cdr:x>
      <cdr:y>0.04124</cdr:y>
    </cdr:from>
    <cdr:to>
      <cdr:x>0.67539</cdr:x>
      <cdr:y>0.15293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66899" y="123825"/>
          <a:ext cx="2409825" cy="33530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9333-8CA2-49F0-89B9-BCA20A8A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2051</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Maritza Poveda Gonzalez</cp:lastModifiedBy>
  <cp:revision>8</cp:revision>
  <cp:lastPrinted>2026-04-29T22:35:00Z</cp:lastPrinted>
  <dcterms:created xsi:type="dcterms:W3CDTF">2026-06-07T02:59:00Z</dcterms:created>
  <dcterms:modified xsi:type="dcterms:W3CDTF">2026-06-07T03:21:00Z</dcterms:modified>
</cp:coreProperties>
</file>