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7D7A4869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</w:t>
      </w:r>
      <w:r w:rsidR="00605566" w:rsidRPr="003C58A7">
        <w:rPr>
          <w:rFonts w:ascii="Verdana" w:hAnsi="Verdana"/>
          <w:b/>
          <w:sz w:val="22"/>
          <w:szCs w:val="20"/>
        </w:rPr>
        <w:t xml:space="preserve">presupuestal </w:t>
      </w:r>
      <w:r w:rsidR="00605566">
        <w:rPr>
          <w:rFonts w:ascii="Verdana" w:hAnsi="Verdana"/>
          <w:b/>
          <w:sz w:val="22"/>
          <w:szCs w:val="20"/>
        </w:rPr>
        <w:t>30</w:t>
      </w:r>
      <w:r w:rsidR="00A471FB">
        <w:rPr>
          <w:rFonts w:ascii="Verdana" w:hAnsi="Verdana"/>
          <w:b/>
          <w:sz w:val="22"/>
          <w:szCs w:val="20"/>
        </w:rPr>
        <w:t xml:space="preserve"> de junio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5E47D4">
        <w:rPr>
          <w:rFonts w:ascii="Verdana" w:hAnsi="Verdana"/>
          <w:b/>
          <w:sz w:val="22"/>
          <w:szCs w:val="20"/>
        </w:rPr>
        <w:t>2021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6620"/>
      </w:tblGrid>
      <w:tr w:rsidR="00F652F6" w:rsidRPr="003C58A7" w14:paraId="2641BF55" w14:textId="77777777" w:rsidTr="009E358F"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6620" w:type="dxa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F652F6" w:rsidRPr="003C58A7" w14:paraId="7C3718D5" w14:textId="77777777" w:rsidTr="009E358F">
        <w:trPr>
          <w:trHeight w:val="43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EDF4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77081392"/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7686F773" w:rsidR="00A67EEC" w:rsidRPr="00D11DE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71FB">
              <w:rPr>
                <w:rFonts w:ascii="Verdana" w:hAnsi="Verdana"/>
                <w:sz w:val="20"/>
                <w:szCs w:val="20"/>
              </w:rPr>
              <w:t>63.334</w:t>
            </w:r>
            <w:r w:rsidR="002C2751">
              <w:rPr>
                <w:rFonts w:ascii="Verdana" w:hAnsi="Verdana"/>
                <w:sz w:val="20"/>
                <w:szCs w:val="20"/>
              </w:rPr>
              <w:t>,</w:t>
            </w:r>
            <w:r w:rsidR="00A471FB">
              <w:rPr>
                <w:rFonts w:ascii="Verdana" w:hAnsi="Verdana"/>
                <w:sz w:val="20"/>
                <w:szCs w:val="20"/>
              </w:rPr>
              <w:t>4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11DE7">
              <w:rPr>
                <w:rFonts w:ascii="Verdana" w:hAnsi="Verdana"/>
                <w:sz w:val="20"/>
                <w:szCs w:val="20"/>
              </w:rPr>
              <w:t>/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>104.452,5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A471FB">
              <w:rPr>
                <w:rFonts w:ascii="Verdana" w:hAnsi="Verdana"/>
                <w:sz w:val="20"/>
                <w:szCs w:val="20"/>
              </w:rPr>
              <w:t>60</w:t>
            </w:r>
            <w:r w:rsidR="002C2751">
              <w:rPr>
                <w:rFonts w:ascii="Verdana" w:hAnsi="Verdana"/>
                <w:sz w:val="20"/>
                <w:szCs w:val="20"/>
              </w:rPr>
              <w:t>,</w:t>
            </w:r>
            <w:r w:rsidR="00A471FB">
              <w:rPr>
                <w:rFonts w:ascii="Verdana" w:hAnsi="Verdana"/>
                <w:sz w:val="20"/>
                <w:szCs w:val="20"/>
              </w:rPr>
              <w:t>63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D11DE7" w:rsidRDefault="00A67EEC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363DF" w14:textId="2C01C500" w:rsidR="00967413" w:rsidRPr="00D11DE7" w:rsidRDefault="00967413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A471FB">
              <w:rPr>
                <w:rFonts w:ascii="Verdana" w:hAnsi="Verdana"/>
                <w:sz w:val="20"/>
                <w:szCs w:val="20"/>
              </w:rPr>
              <w:t>30 de junio</w:t>
            </w:r>
            <w:r w:rsidR="00CE66FF">
              <w:rPr>
                <w:rFonts w:ascii="Verdana" w:hAnsi="Verdana"/>
                <w:sz w:val="20"/>
                <w:szCs w:val="20"/>
              </w:rPr>
              <w:t xml:space="preserve"> de 2021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A471FB">
              <w:rPr>
                <w:rFonts w:ascii="Verdana" w:hAnsi="Verdana"/>
                <w:sz w:val="20"/>
                <w:szCs w:val="20"/>
              </w:rPr>
              <w:t>60,63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885496">
              <w:rPr>
                <w:rFonts w:ascii="Verdana" w:hAnsi="Verdana"/>
                <w:sz w:val="20"/>
                <w:szCs w:val="20"/>
              </w:rPr>
              <w:t>63.334</w:t>
            </w:r>
            <w:r w:rsidR="00A471FB">
              <w:rPr>
                <w:rFonts w:ascii="Verdana" w:hAnsi="Verdana"/>
                <w:sz w:val="20"/>
                <w:szCs w:val="20"/>
              </w:rPr>
              <w:t>,4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A471FB">
              <w:rPr>
                <w:rFonts w:ascii="Verdana" w:hAnsi="Verdana"/>
                <w:sz w:val="20"/>
                <w:szCs w:val="20"/>
              </w:rPr>
              <w:t>53,31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E47D4" w:rsidRPr="00D11DE7">
              <w:rPr>
                <w:rFonts w:ascii="Verdana" w:hAnsi="Verdana"/>
                <w:sz w:val="20"/>
                <w:szCs w:val="20"/>
              </w:rPr>
              <w:t>superávit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A471FB">
              <w:rPr>
                <w:rFonts w:ascii="Verdana" w:hAnsi="Verdana"/>
                <w:sz w:val="20"/>
                <w:szCs w:val="20"/>
              </w:rPr>
              <w:t>7.642,5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</w:p>
          <w:p w14:paraId="6A144967" w14:textId="77777777" w:rsidR="00D42DA8" w:rsidRPr="00D11DE7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11DE7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11DE7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676DAB17" w:rsidR="00CB005B" w:rsidRPr="00D11DE7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4C6D5A">
              <w:rPr>
                <w:rFonts w:ascii="Verdana" w:hAnsi="Verdana"/>
                <w:iCs/>
                <w:sz w:val="20"/>
                <w:szCs w:val="20"/>
                <w:lang w:val="es-ES"/>
              </w:rPr>
              <w:t>275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2C2751">
              <w:rPr>
                <w:rFonts w:ascii="Verdana" w:hAnsi="Verdana"/>
                <w:iCs/>
                <w:sz w:val="20"/>
                <w:szCs w:val="20"/>
                <w:lang w:val="es-ES"/>
              </w:rPr>
              <w:t>1</w:t>
            </w:r>
            <w:r w:rsidR="00451DC9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millones,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debido a que </w:t>
            </w:r>
            <w:r w:rsidR="00CE66FF">
              <w:rPr>
                <w:rFonts w:ascii="Verdana" w:hAnsi="Verdana"/>
                <w:iCs/>
                <w:sz w:val="20"/>
                <w:szCs w:val="20"/>
                <w:lang w:val="es-ES"/>
              </w:rPr>
              <w:t>varios cargos se encuentran en vacancia disponible en la Agencia.</w:t>
            </w:r>
          </w:p>
          <w:p w14:paraId="69A072C2" w14:textId="03763F99" w:rsidR="00401CBD" w:rsidRPr="00D0672E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4C6D5A">
              <w:rPr>
                <w:rFonts w:ascii="Verdana" w:hAnsi="Verdana"/>
                <w:iCs/>
                <w:sz w:val="20"/>
                <w:szCs w:val="20"/>
                <w:lang w:val="es-ES"/>
              </w:rPr>
              <w:t>) Déficit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4C6D5A">
              <w:rPr>
                <w:rFonts w:ascii="Verdana" w:hAnsi="Verdana" w:cs="Arial"/>
                <w:sz w:val="20"/>
                <w:szCs w:val="20"/>
              </w:rPr>
              <w:t>402</w:t>
            </w:r>
            <w:r w:rsidR="002C2751">
              <w:rPr>
                <w:rFonts w:ascii="Verdana" w:hAnsi="Verdana" w:cs="Arial"/>
                <w:sz w:val="20"/>
                <w:szCs w:val="20"/>
              </w:rPr>
              <w:t>,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 millones, debido a que </w:t>
            </w:r>
            <w:r w:rsidR="007B549C">
              <w:rPr>
                <w:rFonts w:ascii="Verdana" w:hAnsi="Verdana" w:cs="Arial"/>
                <w:sz w:val="20"/>
                <w:szCs w:val="20"/>
              </w:rPr>
              <w:t>no se ha terminado el proceso de contratación con Compensar y unas Capaciones ISO para el personal de la agencia.</w:t>
            </w:r>
          </w:p>
          <w:p w14:paraId="36C27484" w14:textId="167012C5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i) 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Superávit en el rubro de FOCAI por </w:t>
            </w:r>
            <w:r w:rsidR="007B549C">
              <w:rPr>
                <w:rFonts w:ascii="Verdana" w:hAnsi="Verdana" w:cs="Arial"/>
                <w:sz w:val="20"/>
                <w:szCs w:val="20"/>
              </w:rPr>
              <w:t>1.906,8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="005E47D4" w:rsidRPr="00D11DE7">
              <w:rPr>
                <w:rFonts w:ascii="Verdana" w:hAnsi="Verdana" w:cs="Arial"/>
                <w:sz w:val="20"/>
                <w:szCs w:val="20"/>
              </w:rPr>
              <w:t>se cumplió la meta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 w:rsidRPr="00D11DE7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B549C">
              <w:rPr>
                <w:rFonts w:ascii="Verdana" w:hAnsi="Verdana" w:cs="Arial"/>
                <w:sz w:val="20"/>
                <w:szCs w:val="20"/>
              </w:rPr>
              <w:t>1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614A5F">
              <w:rPr>
                <w:rFonts w:ascii="Verdana" w:hAnsi="Verdana" w:cs="Arial"/>
                <w:sz w:val="20"/>
                <w:szCs w:val="20"/>
              </w:rPr>
              <w:t>1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>de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 w:rsidRPr="00D11DE7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 w:rsidRPr="00D11DE7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29F37FE" w14:textId="2D125076" w:rsidR="00821F0A" w:rsidRPr="0036503D" w:rsidRDefault="00A67EEC" w:rsidP="0036503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D11DE7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495055" w:rsidRPr="00D11DE7">
              <w:rPr>
                <w:rFonts w:ascii="Verdana" w:hAnsi="Verdana"/>
                <w:sz w:val="20"/>
                <w:szCs w:val="20"/>
              </w:rPr>
              <w:t>superávit</w:t>
            </w:r>
            <w:r w:rsidR="00BD1B66"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7B549C">
              <w:rPr>
                <w:rFonts w:ascii="Verdana" w:hAnsi="Verdana"/>
                <w:sz w:val="20"/>
                <w:szCs w:val="20"/>
              </w:rPr>
              <w:t>6.420</w:t>
            </w:r>
            <w:r w:rsidR="0026597D" w:rsidRPr="0036503D">
              <w:rPr>
                <w:rFonts w:ascii="Verdana" w:hAnsi="Verdana"/>
                <w:sz w:val="20"/>
                <w:szCs w:val="20"/>
              </w:rPr>
              <w:t>,</w:t>
            </w:r>
            <w:r w:rsidR="007B549C">
              <w:rPr>
                <w:rFonts w:ascii="Verdana" w:hAnsi="Verdana"/>
                <w:sz w:val="20"/>
                <w:szCs w:val="20"/>
              </w:rPr>
              <w:t>6</w:t>
            </w:r>
            <w:r w:rsidR="00BD1B66" w:rsidRPr="0036503D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495055" w:rsidRPr="0036503D">
              <w:rPr>
                <w:rFonts w:ascii="Verdana" w:hAnsi="Verdana"/>
                <w:sz w:val="20"/>
                <w:szCs w:val="20"/>
              </w:rPr>
              <w:t xml:space="preserve">que se </w:t>
            </w:r>
            <w:r w:rsidR="00F53A16" w:rsidRPr="0036503D">
              <w:rPr>
                <w:rFonts w:ascii="Verdana" w:hAnsi="Verdana"/>
                <w:sz w:val="20"/>
                <w:szCs w:val="20"/>
              </w:rPr>
              <w:t xml:space="preserve">adelantó el contrato de adquisición del equipo de Barreminas  </w:t>
            </w:r>
            <w:r w:rsidR="00495055" w:rsidRPr="0036503D">
              <w:rPr>
                <w:rFonts w:ascii="Verdana" w:hAnsi="Verdana"/>
                <w:sz w:val="20"/>
                <w:szCs w:val="20"/>
              </w:rPr>
              <w:t xml:space="preserve"> por el rubro de Administración de recursos</w:t>
            </w:r>
            <w:r w:rsidR="003D132A" w:rsidRPr="0036503D">
              <w:rPr>
                <w:rFonts w:ascii="Verdana" w:hAnsi="Verdana"/>
                <w:sz w:val="20"/>
                <w:szCs w:val="20"/>
              </w:rPr>
              <w:t xml:space="preserve"> por </w:t>
            </w:r>
            <w:r w:rsidR="00116E6E" w:rsidRPr="0036503D">
              <w:rPr>
                <w:rFonts w:ascii="Verdana" w:hAnsi="Verdana"/>
                <w:sz w:val="20"/>
                <w:szCs w:val="20"/>
              </w:rPr>
              <w:t>el proyecto</w:t>
            </w:r>
            <w:r w:rsidR="003D132A" w:rsidRPr="0036503D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1F29FE" w:rsidRPr="0036503D">
              <w:rPr>
                <w:rFonts w:ascii="Verdana" w:hAnsi="Verdana"/>
                <w:sz w:val="20"/>
                <w:szCs w:val="20"/>
              </w:rPr>
              <w:t>Howard Buffett</w:t>
            </w:r>
            <w:r w:rsidR="00116E6E" w:rsidRPr="003650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3A16" w:rsidRPr="0036503D">
              <w:rPr>
                <w:rFonts w:ascii="Verdana" w:hAnsi="Verdana"/>
                <w:sz w:val="20"/>
                <w:szCs w:val="20"/>
              </w:rPr>
              <w:t>Apoyo Desminado</w:t>
            </w:r>
            <w:r w:rsidR="001F29FE" w:rsidRPr="003650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6E6E" w:rsidRPr="0036503D">
              <w:rPr>
                <w:rFonts w:ascii="Verdana" w:hAnsi="Verdana"/>
                <w:sz w:val="20"/>
                <w:szCs w:val="20"/>
              </w:rPr>
              <w:t xml:space="preserve">que se </w:t>
            </w:r>
            <w:r w:rsidR="00D0672E" w:rsidRPr="0036503D">
              <w:rPr>
                <w:rFonts w:ascii="Verdana" w:hAnsi="Verdana"/>
                <w:sz w:val="20"/>
                <w:szCs w:val="20"/>
              </w:rPr>
              <w:t xml:space="preserve">tenía </w:t>
            </w:r>
            <w:r w:rsidR="00116E6E" w:rsidRPr="0036503D">
              <w:rPr>
                <w:rFonts w:ascii="Verdana" w:hAnsi="Verdana"/>
                <w:sz w:val="20"/>
                <w:szCs w:val="20"/>
              </w:rPr>
              <w:t xml:space="preserve">prevista para el mes de </w:t>
            </w:r>
            <w:r w:rsidR="00F53A16" w:rsidRPr="0036503D">
              <w:rPr>
                <w:rFonts w:ascii="Verdana" w:hAnsi="Verdana"/>
                <w:sz w:val="20"/>
                <w:szCs w:val="20"/>
              </w:rPr>
              <w:t>octubre.</w:t>
            </w:r>
          </w:p>
          <w:p w14:paraId="39ED14A1" w14:textId="77777777" w:rsidR="00821F0A" w:rsidRPr="00D11DE7" w:rsidRDefault="00821F0A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7BBAB3DD" w:rsidR="00464CE7" w:rsidRPr="00D11DE7" w:rsidRDefault="00E279ED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</w:rPr>
              <w:lastRenderedPageBreak/>
              <w:t xml:space="preserve">El </w:t>
            </w:r>
            <w:r w:rsidR="00F131FB">
              <w:rPr>
                <w:rFonts w:ascii="Verdana" w:hAnsi="Verdana"/>
                <w:sz w:val="20"/>
              </w:rPr>
              <w:t>22,</w:t>
            </w:r>
            <w:r w:rsidR="007B549C">
              <w:rPr>
                <w:rFonts w:ascii="Verdana" w:hAnsi="Verdana"/>
                <w:sz w:val="20"/>
              </w:rPr>
              <w:t>41</w:t>
            </w:r>
            <w:r w:rsidRPr="00D11DE7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F131FB">
              <w:rPr>
                <w:rFonts w:ascii="Verdana" w:hAnsi="Verdana"/>
                <w:sz w:val="20"/>
              </w:rPr>
              <w:t>77,</w:t>
            </w:r>
            <w:r w:rsidR="007B549C">
              <w:rPr>
                <w:rFonts w:ascii="Verdana" w:hAnsi="Verdana"/>
                <w:sz w:val="20"/>
              </w:rPr>
              <w:t>59</w:t>
            </w:r>
            <w:r w:rsidRPr="00D11DE7">
              <w:rPr>
                <w:rFonts w:ascii="Verdana" w:hAnsi="Verdana"/>
                <w:sz w:val="20"/>
              </w:rPr>
              <w:t>% a los gastos de inversión.</w:t>
            </w:r>
          </w:p>
          <w:bookmarkEnd w:id="0"/>
          <w:p w14:paraId="2B8AE5A6" w14:textId="77777777" w:rsidR="00E279ED" w:rsidRPr="00D11DE7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045FC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45FC6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</w:p>
          <w:p w14:paraId="24F2599A" w14:textId="77777777" w:rsidR="00A67EEC" w:rsidRPr="00045FC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642EDC" w14:textId="23D1BCAC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45FC6">
              <w:rPr>
                <w:rFonts w:ascii="Verdana" w:hAnsi="Verdana" w:cs="Arial"/>
                <w:sz w:val="20"/>
                <w:szCs w:val="20"/>
              </w:rPr>
              <w:t>1) Los gastos de personal representan</w:t>
            </w:r>
            <w:r w:rsidRPr="00D11DE7">
              <w:rPr>
                <w:rFonts w:ascii="Verdana" w:hAnsi="Verdana" w:cs="Arial"/>
                <w:sz w:val="20"/>
                <w:szCs w:val="20"/>
              </w:rPr>
              <w:t xml:space="preserve"> el </w:t>
            </w:r>
            <w:r w:rsidR="00045FC6">
              <w:rPr>
                <w:rFonts w:ascii="Verdana" w:hAnsi="Verdana" w:cs="Arial"/>
                <w:sz w:val="20"/>
                <w:szCs w:val="20"/>
              </w:rPr>
              <w:t>29,70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2B41D109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932602">
              <w:rPr>
                <w:rFonts w:ascii="Verdana" w:hAnsi="Verdana" w:cs="Arial"/>
                <w:sz w:val="20"/>
                <w:szCs w:val="20"/>
              </w:rPr>
              <w:t>1</w:t>
            </w:r>
            <w:r w:rsidR="00045FC6">
              <w:rPr>
                <w:rFonts w:ascii="Verdana" w:hAnsi="Verdana" w:cs="Arial"/>
                <w:sz w:val="20"/>
                <w:szCs w:val="20"/>
              </w:rPr>
              <w:t>5,86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162E211C" w:rsidR="00A2238C" w:rsidRPr="00D11DE7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3)</w:t>
            </w:r>
            <w:r w:rsidR="00045FC6">
              <w:rPr>
                <w:rFonts w:ascii="Verdana" w:hAnsi="Verdana" w:cs="Arial"/>
                <w:sz w:val="20"/>
                <w:szCs w:val="20"/>
              </w:rPr>
              <w:t xml:space="preserve">Los gastos </w:t>
            </w:r>
            <w:r w:rsidR="00045FC6" w:rsidRPr="00882814">
              <w:rPr>
                <w:rFonts w:ascii="Verdana" w:hAnsi="Verdana" w:cs="Arial"/>
                <w:sz w:val="20"/>
                <w:szCs w:val="20"/>
              </w:rPr>
              <w:t>de transferencias corrientes representan el</w:t>
            </w:r>
            <w:r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45FC6">
              <w:rPr>
                <w:rFonts w:ascii="Verdana" w:hAnsi="Verdana" w:cs="Arial"/>
                <w:sz w:val="20"/>
                <w:szCs w:val="20"/>
              </w:rPr>
              <w:t>54,4</w:t>
            </w:r>
            <w:r w:rsidR="0074105A">
              <w:rPr>
                <w:rFonts w:ascii="Verdana" w:hAnsi="Verdana" w:cs="Arial"/>
                <w:sz w:val="20"/>
                <w:szCs w:val="20"/>
              </w:rPr>
              <w:t>4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045FC6">
              <w:rPr>
                <w:rFonts w:ascii="Verdana" w:hAnsi="Verdana" w:cs="Arial"/>
                <w:sz w:val="20"/>
                <w:szCs w:val="20"/>
              </w:rPr>
              <w:t>54,34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 w:rsidRPr="00D11DE7">
              <w:rPr>
                <w:rFonts w:ascii="Verdana" w:hAnsi="Verdana" w:cs="Arial"/>
                <w:sz w:val="20"/>
                <w:szCs w:val="20"/>
              </w:rPr>
              <w:t>0,</w:t>
            </w:r>
            <w:r w:rsidR="00045FC6">
              <w:rPr>
                <w:rFonts w:ascii="Verdana" w:hAnsi="Verdana" w:cs="Arial"/>
                <w:sz w:val="20"/>
                <w:szCs w:val="20"/>
              </w:rPr>
              <w:t>10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7DB5D2CF" w14:textId="38D394FD" w:rsidR="00A67EEC" w:rsidRPr="00D11DE7" w:rsidRDefault="0012189C" w:rsidP="00A67E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4) Los gastos por tributos, multas, sanciones e intereses de mora presentan el 0,</w:t>
            </w:r>
            <w:r w:rsidR="003D132A" w:rsidRPr="00D11DE7">
              <w:rPr>
                <w:rFonts w:ascii="Verdana" w:hAnsi="Verdana" w:cs="Arial"/>
                <w:sz w:val="20"/>
                <w:szCs w:val="20"/>
              </w:rPr>
              <w:t>00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2807819B" w14:textId="77777777" w:rsidR="002D3041" w:rsidRPr="00D11DE7" w:rsidRDefault="002D3041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BAB455" w14:textId="0EB3D60C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24273406" w14:textId="0F037D5C" w:rsidR="00AF56A0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ECE839" w14:textId="0C897FAB" w:rsidR="00AF56A0" w:rsidRPr="00D11DE7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1)Aportes de </w:t>
            </w:r>
            <w:r w:rsidR="00185DD7">
              <w:rPr>
                <w:rFonts w:ascii="Verdana" w:hAnsi="Verdana"/>
                <w:sz w:val="20"/>
                <w:szCs w:val="20"/>
              </w:rPr>
              <w:t>Recursos de</w:t>
            </w:r>
            <w:r>
              <w:rPr>
                <w:rFonts w:ascii="Verdana" w:hAnsi="Verdana"/>
                <w:sz w:val="20"/>
                <w:szCs w:val="20"/>
              </w:rPr>
              <w:t xml:space="preserve"> Contrapartidas con el </w:t>
            </w:r>
            <w:r w:rsidR="001E1C8B">
              <w:rPr>
                <w:rFonts w:ascii="Verdana" w:hAnsi="Verdana"/>
                <w:sz w:val="20"/>
                <w:szCs w:val="20"/>
              </w:rPr>
              <w:t>2,</w:t>
            </w:r>
            <w:r w:rsidR="00045FC6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1E1C8B">
              <w:rPr>
                <w:rFonts w:ascii="Verdana" w:hAnsi="Verdana"/>
                <w:sz w:val="20"/>
                <w:szCs w:val="20"/>
              </w:rPr>
              <w:t>1.180,0</w:t>
            </w:r>
            <w:r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se contrató los </w:t>
            </w:r>
            <w:r>
              <w:rPr>
                <w:rFonts w:ascii="Verdana" w:hAnsi="Verdana"/>
                <w:sz w:val="20"/>
                <w:szCs w:val="20"/>
              </w:rPr>
              <w:t>Convenio</w:t>
            </w:r>
            <w:r w:rsidR="001D5763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co</w:t>
            </w:r>
            <w:r w:rsidR="001E1C8B">
              <w:rPr>
                <w:rFonts w:ascii="Verdana" w:hAnsi="Verdana"/>
                <w:sz w:val="20"/>
                <w:szCs w:val="20"/>
              </w:rPr>
              <w:t>n La Fundación Acción Interna, convenio con la Fundación Carvajal y Convenio con Corporación Econexus Colombia.</w:t>
            </w:r>
          </w:p>
          <w:p w14:paraId="1FFA5BB9" w14:textId="39458775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9D8832" w14:textId="029FF4FC" w:rsidR="00A67EEC" w:rsidRPr="00D11DE7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045FC6">
              <w:rPr>
                <w:rFonts w:ascii="Verdana" w:hAnsi="Verdana"/>
                <w:sz w:val="20"/>
                <w:szCs w:val="20"/>
              </w:rPr>
              <w:t>97,10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1E1C8B">
              <w:rPr>
                <w:rFonts w:ascii="Verdana" w:hAnsi="Verdana"/>
                <w:sz w:val="20"/>
                <w:szCs w:val="20"/>
              </w:rPr>
              <w:t>45.</w:t>
            </w:r>
            <w:r w:rsidR="00045FC6">
              <w:rPr>
                <w:rFonts w:ascii="Verdana" w:hAnsi="Verdana"/>
                <w:sz w:val="20"/>
                <w:szCs w:val="20"/>
              </w:rPr>
              <w:t>716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>,</w:t>
            </w:r>
            <w:r w:rsidR="00045FC6">
              <w:rPr>
                <w:rFonts w:ascii="Verdana" w:hAnsi="Verdana"/>
                <w:sz w:val="20"/>
                <w:szCs w:val="20"/>
              </w:rPr>
              <w:t>9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94C7CB" w14:textId="0A1638A6" w:rsidR="00D11DE7" w:rsidRPr="00D11DE7" w:rsidRDefault="00D11DE7" w:rsidP="00D11DE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188,5 millones por cuenta del proyecto de BCIE.</w:t>
            </w:r>
          </w:p>
          <w:p w14:paraId="4226A621" w14:textId="1C6FA66C" w:rsidR="00A2238C" w:rsidRPr="006B1AA9" w:rsidRDefault="00AF56A0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6B1AA9">
              <w:rPr>
                <w:rFonts w:ascii="Verdana" w:hAnsi="Verdana"/>
                <w:sz w:val="20"/>
                <w:szCs w:val="20"/>
              </w:rPr>
              <w:t>24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,</w:t>
            </w:r>
            <w:r w:rsidR="006B1AA9">
              <w:rPr>
                <w:rFonts w:ascii="Verdana" w:hAnsi="Verdana"/>
                <w:sz w:val="20"/>
                <w:szCs w:val="20"/>
              </w:rPr>
              <w:t>2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 w:rsidRPr="00D11DE7">
              <w:rPr>
                <w:rFonts w:ascii="Verdana" w:hAnsi="Verdana"/>
                <w:sz w:val="20"/>
                <w:szCs w:val="20"/>
              </w:rPr>
              <w:t>l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Estrate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gia regional de emprendimiento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financiado con recursos donados por la Unión Europea.</w:t>
            </w:r>
          </w:p>
          <w:p w14:paraId="02503E6D" w14:textId="5721B598" w:rsidR="006B1AA9" w:rsidRPr="00D11DE7" w:rsidRDefault="006B1AA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4,1 millones por cuenta del proyecto del proyecto Fondo Verde del Clima.</w:t>
            </w:r>
          </w:p>
          <w:p w14:paraId="28BA6ED1" w14:textId="7A557512" w:rsidR="00D11DE7" w:rsidRPr="00D11DE7" w:rsidRDefault="00AF56A0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,3 millones por cuenta del proyecto del Gobierno de Corea.</w:t>
            </w:r>
          </w:p>
          <w:p w14:paraId="7598AB18" w14:textId="73A0929E" w:rsidR="00D11DE7" w:rsidRPr="00D11DE7" w:rsidRDefault="006B1AA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359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 xml:space="preserve"> millones por cuenta del proyecto del Gobierno de Portugal.</w:t>
            </w:r>
          </w:p>
          <w:p w14:paraId="67DBF5B8" w14:textId="6F1640D3" w:rsidR="00D11DE7" w:rsidRPr="00D11DE7" w:rsidRDefault="00045FC6" w:rsidP="0035297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21.449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millones por cuenta del proyecto Howard Buffet Apoyo Desminado Terrestre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.</w:t>
            </w:r>
          </w:p>
          <w:p w14:paraId="21004D00" w14:textId="006AB654" w:rsidR="00AF56A0" w:rsidRDefault="00D11DE7" w:rsidP="00AF56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</w:t>
            </w:r>
            <w:r w:rsidR="00AF56A0">
              <w:rPr>
                <w:rFonts w:ascii="Verdana" w:hAnsi="Verdana"/>
                <w:sz w:val="20"/>
                <w:szCs w:val="20"/>
              </w:rPr>
              <w:t>9</w:t>
            </w:r>
            <w:r w:rsidRPr="00D11DE7">
              <w:rPr>
                <w:rFonts w:ascii="Verdana" w:hAnsi="Verdana"/>
                <w:sz w:val="20"/>
                <w:szCs w:val="20"/>
              </w:rPr>
              <w:t>.</w:t>
            </w:r>
            <w:r w:rsidR="00AF56A0">
              <w:rPr>
                <w:rFonts w:ascii="Verdana" w:hAnsi="Verdana"/>
                <w:sz w:val="20"/>
                <w:szCs w:val="20"/>
              </w:rPr>
              <w:t>530</w:t>
            </w:r>
            <w:r w:rsidRPr="00D11DE7">
              <w:rPr>
                <w:rFonts w:ascii="Verdana" w:hAnsi="Verdana"/>
                <w:sz w:val="20"/>
                <w:szCs w:val="20"/>
              </w:rPr>
              <w:t>,</w:t>
            </w:r>
            <w:r w:rsidR="00AF56A0">
              <w:rPr>
                <w:rFonts w:ascii="Verdana" w:hAnsi="Verdana"/>
                <w:sz w:val="20"/>
                <w:szCs w:val="20"/>
              </w:rPr>
              <w:t>7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 por cuenta del proyecto Howard Buffet Catatumbo Sostenible.</w:t>
            </w:r>
          </w:p>
          <w:p w14:paraId="18E16E5D" w14:textId="5ED66DA3" w:rsidR="006B1AA9" w:rsidRDefault="006B1AA9" w:rsidP="00AF56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5.110,2 millones por cuenta del proyecto Howard Buffet CENAM.</w:t>
            </w:r>
          </w:p>
          <w:p w14:paraId="54AB437E" w14:textId="77777777" w:rsidR="00AF56A0" w:rsidRPr="00AF56A0" w:rsidRDefault="00AF56A0" w:rsidP="00AF56A0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BEC2E0C" w14:textId="2A6F63D3" w:rsidR="00D11DE7" w:rsidRDefault="00AF56A0" w:rsidP="00AF56A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185DD7">
              <w:rPr>
                <w:rFonts w:ascii="Verdana" w:hAnsi="Verdana"/>
                <w:sz w:val="20"/>
                <w:szCs w:val="20"/>
              </w:rPr>
              <w:t>Fortalecimiento de las capacidades Tecnológicas de la Información con el 0,</w:t>
            </w:r>
            <w:r w:rsidR="006B1AA9">
              <w:rPr>
                <w:rFonts w:ascii="Verdana" w:hAnsi="Verdana"/>
                <w:sz w:val="20"/>
                <w:szCs w:val="20"/>
              </w:rPr>
              <w:t>2</w:t>
            </w:r>
            <w:r w:rsidR="00045FC6">
              <w:rPr>
                <w:rFonts w:ascii="Verdana" w:hAnsi="Verdana"/>
                <w:sz w:val="20"/>
                <w:szCs w:val="20"/>
              </w:rPr>
              <w:t>5</w:t>
            </w:r>
            <w:r w:rsidR="00185DD7"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6B1AA9">
              <w:rPr>
                <w:rFonts w:ascii="Verdana" w:hAnsi="Verdana"/>
                <w:sz w:val="20"/>
                <w:szCs w:val="20"/>
              </w:rPr>
              <w:t>125</w:t>
            </w:r>
            <w:r w:rsidR="00185DD7">
              <w:rPr>
                <w:rFonts w:ascii="Verdana" w:hAnsi="Verdana"/>
                <w:sz w:val="20"/>
                <w:szCs w:val="20"/>
              </w:rPr>
              <w:t>,</w:t>
            </w:r>
            <w:r w:rsidR="00045FC6">
              <w:rPr>
                <w:rFonts w:ascii="Verdana" w:hAnsi="Verdana"/>
                <w:sz w:val="20"/>
                <w:szCs w:val="20"/>
              </w:rPr>
              <w:t>0</w:t>
            </w:r>
            <w:r w:rsidR="00185DD7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para el servicio de </w:t>
            </w:r>
            <w:r w:rsidR="006B1AA9">
              <w:rPr>
                <w:rFonts w:ascii="Verdana" w:hAnsi="Verdana"/>
                <w:sz w:val="20"/>
                <w:szCs w:val="20"/>
              </w:rPr>
              <w:t>cuatro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6B1AA9">
              <w:rPr>
                <w:rFonts w:ascii="Verdana" w:hAnsi="Verdana"/>
                <w:sz w:val="20"/>
                <w:szCs w:val="20"/>
              </w:rPr>
              <w:t>es para la gestión del proyecto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 y un contrato con Powersun.</w:t>
            </w:r>
          </w:p>
          <w:p w14:paraId="119E7CC4" w14:textId="77777777" w:rsidR="00AF56A0" w:rsidRPr="00AF56A0" w:rsidRDefault="00AF56A0" w:rsidP="00AF56A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7C9ABDDA" w:rsidR="00F57B74" w:rsidRPr="00D11DE7" w:rsidRDefault="00AF56A0" w:rsidP="006B1A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>)</w:t>
            </w:r>
            <w:r w:rsidR="00C62003" w:rsidRPr="00D11DE7">
              <w:t xml:space="preserve">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Nivel Nacional, con el </w:t>
            </w:r>
            <w:r w:rsidR="001D5763">
              <w:rPr>
                <w:rFonts w:ascii="Verdana" w:hAnsi="Verdana"/>
                <w:sz w:val="20"/>
                <w:szCs w:val="20"/>
              </w:rPr>
              <w:t>0,2</w:t>
            </w:r>
            <w:r w:rsidR="00045FC6">
              <w:rPr>
                <w:rFonts w:ascii="Verdana" w:hAnsi="Verdana"/>
                <w:sz w:val="20"/>
                <w:szCs w:val="20"/>
              </w:rPr>
              <w:t>4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1</w:t>
            </w:r>
            <w:r w:rsidR="001D5763">
              <w:rPr>
                <w:rFonts w:ascii="Verdana" w:hAnsi="Verdana"/>
                <w:sz w:val="20"/>
                <w:szCs w:val="20"/>
              </w:rPr>
              <w:t>17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,</w:t>
            </w:r>
            <w:r w:rsidR="001D5763">
              <w:rPr>
                <w:rFonts w:ascii="Verdana" w:hAnsi="Verdana"/>
                <w:sz w:val="20"/>
                <w:szCs w:val="20"/>
              </w:rPr>
              <w:t>5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1D5763">
              <w:rPr>
                <w:rFonts w:ascii="Verdana" w:hAnsi="Verdana"/>
                <w:sz w:val="20"/>
                <w:szCs w:val="20"/>
              </w:rPr>
              <w:t>tres</w:t>
            </w:r>
            <w:r w:rsidR="004A0B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profesional</w:t>
            </w:r>
            <w:r w:rsidR="004A0BBE">
              <w:rPr>
                <w:rFonts w:ascii="Verdana" w:hAnsi="Verdana"/>
                <w:sz w:val="20"/>
                <w:szCs w:val="20"/>
              </w:rPr>
              <w:t>es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para la gestión del 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proyecto</w:t>
            </w:r>
            <w:r w:rsidR="00B468A1" w:rsidRPr="00D11DE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2B11575E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C3142">
              <w:rPr>
                <w:rFonts w:ascii="Verdana" w:hAnsi="Verdana"/>
                <w:sz w:val="20"/>
                <w:szCs w:val="20"/>
              </w:rPr>
              <w:t>20.143</w:t>
            </w:r>
            <w:r w:rsidR="008A779F">
              <w:rPr>
                <w:rFonts w:ascii="Verdana" w:hAnsi="Verdana"/>
                <w:sz w:val="20"/>
                <w:szCs w:val="20"/>
              </w:rPr>
              <w:t>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3D132A">
              <w:rPr>
                <w:rFonts w:ascii="Verdana" w:hAnsi="Verdana"/>
                <w:sz w:val="20"/>
                <w:szCs w:val="20"/>
              </w:rPr>
              <w:t>104.452,5</w:t>
            </w:r>
            <w:r w:rsidR="003D132A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6C3142">
              <w:rPr>
                <w:rFonts w:ascii="Verdana" w:hAnsi="Verdana"/>
                <w:sz w:val="20"/>
                <w:szCs w:val="20"/>
              </w:rPr>
              <w:t>19</w:t>
            </w:r>
            <w:r w:rsidR="008A779F">
              <w:rPr>
                <w:rFonts w:ascii="Verdana" w:hAnsi="Verdana"/>
                <w:sz w:val="20"/>
                <w:szCs w:val="20"/>
              </w:rPr>
              <w:t>,</w:t>
            </w:r>
            <w:r w:rsidR="006C3142">
              <w:rPr>
                <w:rFonts w:ascii="Verdana" w:hAnsi="Verdana"/>
                <w:sz w:val="20"/>
                <w:szCs w:val="20"/>
              </w:rPr>
              <w:t>2</w:t>
            </w:r>
            <w:r w:rsidR="008A779F">
              <w:rPr>
                <w:rFonts w:ascii="Verdana" w:hAnsi="Verdana"/>
                <w:sz w:val="20"/>
                <w:szCs w:val="20"/>
              </w:rPr>
              <w:t>8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74C4A14C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>Con corte al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C3142">
              <w:rPr>
                <w:rFonts w:ascii="Verdana" w:hAnsi="Verdana"/>
                <w:sz w:val="20"/>
                <w:szCs w:val="20"/>
              </w:rPr>
              <w:t>30 de junio</w:t>
            </w:r>
            <w:r w:rsidR="008A77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009">
              <w:rPr>
                <w:rFonts w:ascii="Verdana" w:hAnsi="Verdana"/>
                <w:sz w:val="20"/>
                <w:szCs w:val="20"/>
              </w:rPr>
              <w:t>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C55462">
              <w:rPr>
                <w:rFonts w:ascii="Verdana" w:hAnsi="Verdana"/>
                <w:sz w:val="20"/>
                <w:szCs w:val="20"/>
              </w:rPr>
              <w:t>21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6C3142">
              <w:rPr>
                <w:rFonts w:ascii="Verdana" w:hAnsi="Verdana"/>
                <w:sz w:val="20"/>
                <w:szCs w:val="20"/>
              </w:rPr>
              <w:t>19,28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6C3142">
              <w:rPr>
                <w:rFonts w:ascii="Verdana" w:hAnsi="Verdana"/>
                <w:sz w:val="20"/>
                <w:szCs w:val="20"/>
              </w:rPr>
              <w:t>20.143,0</w:t>
            </w:r>
            <w:r w:rsidR="006A6DAD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6C3142">
              <w:rPr>
                <w:rFonts w:ascii="Verdana" w:hAnsi="Verdana"/>
                <w:sz w:val="20"/>
                <w:szCs w:val="20"/>
              </w:rPr>
              <w:t>19,83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6C3142">
              <w:rPr>
                <w:rFonts w:ascii="Verdana" w:hAnsi="Verdana"/>
                <w:sz w:val="20"/>
                <w:szCs w:val="20"/>
              </w:rPr>
              <w:t>déficit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6C3142">
              <w:rPr>
                <w:rFonts w:ascii="Verdana" w:hAnsi="Verdana"/>
                <w:sz w:val="20"/>
                <w:szCs w:val="20"/>
              </w:rPr>
              <w:t>570,0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Pr="002D3041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7065456" w14:textId="25E8C184" w:rsidR="0036503D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1)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6C3142">
              <w:rPr>
                <w:rFonts w:ascii="Verdana" w:hAnsi="Verdana"/>
                <w:iCs/>
                <w:sz w:val="20"/>
                <w:szCs w:val="20"/>
                <w:lang w:val="es-ES"/>
              </w:rPr>
              <w:t>282</w:t>
            </w:r>
            <w:r w:rsidR="0036503D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6C3142">
              <w:rPr>
                <w:rFonts w:ascii="Verdana" w:hAnsi="Verdana"/>
                <w:iCs/>
                <w:sz w:val="20"/>
                <w:szCs w:val="20"/>
                <w:lang w:val="es-ES"/>
              </w:rPr>
              <w:t>3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</w:t>
            </w:r>
            <w:r w:rsidR="0036503D" w:rsidRPr="0036503D">
              <w:rPr>
                <w:rFonts w:ascii="Verdana" w:hAnsi="Verdana"/>
                <w:iCs/>
                <w:sz w:val="20"/>
                <w:szCs w:val="20"/>
                <w:lang w:val="es-ES"/>
              </w:rPr>
              <w:t>debido a que varios cargos se encuentran en vacancia disponible en la Agencia.</w:t>
            </w:r>
          </w:p>
          <w:p w14:paraId="34C3BEB4" w14:textId="7CF7E143" w:rsidR="00EE3850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2E5AF1">
              <w:rPr>
                <w:rFonts w:ascii="Verdana" w:hAnsi="Verdana" w:cs="Arial"/>
                <w:sz w:val="20"/>
                <w:szCs w:val="20"/>
                <w:lang w:val="es-CO"/>
              </w:rPr>
              <w:t xml:space="preserve">Déficit </w:t>
            </w:r>
            <w:r w:rsidR="002E5AF1" w:rsidRPr="000135D9">
              <w:rPr>
                <w:rFonts w:ascii="Verdana" w:hAnsi="Verdana" w:cs="Arial"/>
                <w:sz w:val="20"/>
                <w:szCs w:val="20"/>
                <w:lang w:val="es-CO"/>
              </w:rPr>
              <w:t>en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la ejecución de adquisición de bienes y servicios por </w:t>
            </w:r>
            <w:r w:rsidR="00005E62">
              <w:rPr>
                <w:rFonts w:ascii="Verdana" w:hAnsi="Verdana" w:cs="Arial"/>
                <w:sz w:val="20"/>
                <w:szCs w:val="20"/>
                <w:lang w:val="es-CO"/>
              </w:rPr>
              <w:t>182,5 millones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>, debido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5D044C">
              <w:rPr>
                <w:rFonts w:ascii="Verdana" w:hAnsi="Verdana" w:cs="Arial"/>
                <w:sz w:val="20"/>
                <w:szCs w:val="20"/>
                <w:lang w:val="es-CO"/>
              </w:rPr>
              <w:t xml:space="preserve">a </w:t>
            </w:r>
            <w:r w:rsidR="00E04F3F">
              <w:rPr>
                <w:rFonts w:ascii="Verdana" w:hAnsi="Verdana" w:cs="Arial"/>
                <w:sz w:val="20"/>
                <w:szCs w:val="20"/>
                <w:lang w:val="es-CO"/>
              </w:rPr>
              <w:t>que</w:t>
            </w:r>
            <w:r w:rsidR="002E5AF1"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tenía programado pagos con los contractos </w:t>
            </w:r>
            <w:r w:rsidR="000D2AFD">
              <w:rPr>
                <w:rFonts w:ascii="Verdana" w:hAnsi="Verdana" w:cs="Arial"/>
                <w:sz w:val="20"/>
                <w:szCs w:val="20"/>
                <w:lang w:val="es-CO"/>
              </w:rPr>
              <w:t>de Berlitz y</w:t>
            </w:r>
            <w:r w:rsidR="00005E62">
              <w:rPr>
                <w:rFonts w:ascii="Verdana" w:hAnsi="Verdana" w:cs="Arial"/>
                <w:sz w:val="20"/>
                <w:szCs w:val="20"/>
                <w:lang w:val="es-CO"/>
              </w:rPr>
              <w:t xml:space="preserve"> la factura del contrato de </w:t>
            </w:r>
            <w:r w:rsidR="002E5AF1">
              <w:rPr>
                <w:rFonts w:ascii="Verdana" w:hAnsi="Verdana" w:cs="Arial"/>
                <w:sz w:val="20"/>
                <w:szCs w:val="20"/>
                <w:lang w:val="es-CO"/>
              </w:rPr>
              <w:t>Dotación</w:t>
            </w:r>
            <w:r w:rsidR="00005E62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 vestuario</w:t>
            </w:r>
            <w:r w:rsidR="002E5AF1">
              <w:rPr>
                <w:rFonts w:ascii="Verdana" w:hAnsi="Verdana" w:cs="Arial"/>
                <w:sz w:val="20"/>
                <w:szCs w:val="20"/>
                <w:lang w:val="es-CO"/>
              </w:rPr>
              <w:t xml:space="preserve"> y Redex se pagaran Enel mes siguiente.</w:t>
            </w:r>
          </w:p>
          <w:p w14:paraId="2BCFD12C" w14:textId="77777777" w:rsidR="002E5AF1" w:rsidRDefault="002E5AF1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25F18782" w14:textId="4C89C871" w:rsidR="00CB005B" w:rsidRDefault="00637AE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>i)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Superávit en el rubro de FOCAI por </w:t>
            </w:r>
            <w:r w:rsidR="002E5AF1">
              <w:rPr>
                <w:rFonts w:ascii="Verdana" w:hAnsi="Verdana" w:cs="Arial"/>
                <w:sz w:val="20"/>
                <w:szCs w:val="20"/>
              </w:rPr>
              <w:t>3.071,6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millones se cumplió la meta.</w:t>
            </w:r>
            <w:r w:rsidR="00275339" w:rsidRPr="0049603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ii)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 xml:space="preserve">e presentó déficit de </w:t>
            </w:r>
            <w:r w:rsidR="002E5AF1">
              <w:rPr>
                <w:rFonts w:ascii="Verdana" w:hAnsi="Verdana" w:cs="Arial"/>
                <w:sz w:val="20"/>
                <w:szCs w:val="20"/>
              </w:rPr>
              <w:t>5,5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del rubro de incapacidades y licencias de maternidad, debido a que este rubro es variable</w:t>
            </w:r>
            <w:r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8A8F798" w14:textId="77777777" w:rsidR="002D3041" w:rsidRDefault="002D3041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D0FDE0" w14:textId="3C7C8C06" w:rsidR="00072FC6" w:rsidRPr="007F4110" w:rsidRDefault="00A750DC" w:rsidP="00C345B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7F4110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="008E21DE" w:rsidRPr="007F4110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" w:name="_Hlk77173146"/>
            <w:r w:rsidR="009960C5" w:rsidRPr="007F4110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0D2AFD" w:rsidRPr="007F4110">
              <w:rPr>
                <w:rFonts w:ascii="Verdana" w:hAnsi="Verdana"/>
                <w:sz w:val="20"/>
                <w:szCs w:val="20"/>
              </w:rPr>
              <w:t>déficit de</w:t>
            </w:r>
            <w:r w:rsidR="009960C5" w:rsidRPr="007F411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2AFD" w:rsidRPr="007F4110">
              <w:rPr>
                <w:rFonts w:ascii="Verdana" w:hAnsi="Verdana"/>
                <w:sz w:val="20"/>
                <w:szCs w:val="20"/>
              </w:rPr>
              <w:t>3.165,6</w:t>
            </w:r>
            <w:r w:rsidR="00F642D9" w:rsidRPr="007F4110">
              <w:rPr>
                <w:rFonts w:ascii="Verdana" w:hAnsi="Verdana"/>
                <w:sz w:val="20"/>
                <w:szCs w:val="20"/>
              </w:rPr>
              <w:t xml:space="preserve"> millones debido a que 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las actas de inicio de </w:t>
            </w:r>
            <w:r w:rsidR="003F2F00" w:rsidRPr="007F4110">
              <w:rPr>
                <w:rFonts w:ascii="Verdana" w:hAnsi="Verdana"/>
                <w:sz w:val="20"/>
                <w:szCs w:val="20"/>
              </w:rPr>
              <w:t>obra que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estaban previstas para firmar el 3 de mayo por pa</w:t>
            </w:r>
            <w:r w:rsidR="007F4110">
              <w:rPr>
                <w:rFonts w:ascii="Verdana" w:hAnsi="Verdana"/>
                <w:sz w:val="20"/>
                <w:szCs w:val="20"/>
              </w:rPr>
              <w:t>r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>te de los contratistas</w:t>
            </w:r>
            <w:r w:rsidR="007F4110">
              <w:rPr>
                <w:rFonts w:ascii="Verdana" w:hAnsi="Verdana"/>
                <w:sz w:val="20"/>
                <w:szCs w:val="20"/>
              </w:rPr>
              <w:t>,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no se pudieron </w:t>
            </w:r>
            <w:r w:rsidR="007F4110">
              <w:rPr>
                <w:rFonts w:ascii="Verdana" w:hAnsi="Verdana"/>
                <w:sz w:val="20"/>
                <w:szCs w:val="20"/>
              </w:rPr>
              <w:t>firmar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por lo</w:t>
            </w:r>
            <w:r w:rsidR="007F4110">
              <w:rPr>
                <w:rFonts w:ascii="Verdana" w:hAnsi="Verdana"/>
                <w:sz w:val="20"/>
                <w:szCs w:val="20"/>
              </w:rPr>
              <w:t>s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bloqueos que se llevaron a cabo </w:t>
            </w:r>
            <w:r w:rsidR="007F4110">
              <w:rPr>
                <w:rFonts w:ascii="Verdana" w:hAnsi="Verdana"/>
                <w:sz w:val="20"/>
                <w:szCs w:val="20"/>
              </w:rPr>
              <w:t>en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el </w:t>
            </w:r>
            <w:proofErr w:type="gramStart"/>
            <w:r w:rsidR="007F4110" w:rsidRPr="007F4110">
              <w:rPr>
                <w:rFonts w:ascii="Verdana" w:hAnsi="Verdana"/>
                <w:sz w:val="20"/>
                <w:szCs w:val="20"/>
              </w:rPr>
              <w:t>Catatumbo  en</w:t>
            </w:r>
            <w:proofErr w:type="gramEnd"/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los mese</w:t>
            </w:r>
            <w:r w:rsidR="007F4110">
              <w:rPr>
                <w:rFonts w:ascii="Verdana" w:hAnsi="Verdana"/>
                <w:sz w:val="20"/>
                <w:szCs w:val="20"/>
              </w:rPr>
              <w:t>s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de mayo y junio, por lo tanto no se pudieron girar 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lastRenderedPageBreak/>
              <w:t xml:space="preserve">los anticipos </w:t>
            </w:r>
            <w:r w:rsidR="007F4110">
              <w:rPr>
                <w:rFonts w:ascii="Verdana" w:hAnsi="Verdana"/>
                <w:sz w:val="20"/>
                <w:szCs w:val="20"/>
              </w:rPr>
              <w:t>previstos, estas actas se firmaron en el mes de julio y se preveé q los anticipos se girarán en les de agosto.</w:t>
            </w:r>
            <w:bookmarkEnd w:id="1"/>
          </w:p>
          <w:p w14:paraId="2818039E" w14:textId="77777777" w:rsidR="00072FC6" w:rsidRPr="00072FC6" w:rsidRDefault="00072FC6" w:rsidP="00072FC6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A6F9885" w14:textId="7AA74F0F" w:rsidR="0004373C" w:rsidRPr="00072FC6" w:rsidRDefault="0004373C" w:rsidP="00072FC6">
            <w:pPr>
              <w:ind w:left="75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CA5391">
              <w:rPr>
                <w:rFonts w:ascii="Verdana" w:hAnsi="Verdana" w:cs="Arial"/>
                <w:sz w:val="20"/>
                <w:szCs w:val="20"/>
                <w:lang w:val="es-CO"/>
              </w:rPr>
              <w:t>61,58</w:t>
            </w: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CA5391">
              <w:rPr>
                <w:rFonts w:ascii="Verdana" w:hAnsi="Verdana" w:cs="Arial"/>
                <w:sz w:val="20"/>
                <w:szCs w:val="20"/>
                <w:lang w:val="es-CO"/>
              </w:rPr>
              <w:t>38,42</w:t>
            </w: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9960C5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0B52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707D841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CA5391">
              <w:rPr>
                <w:rFonts w:ascii="Verdana" w:hAnsi="Verdana" w:cs="Arial"/>
                <w:sz w:val="20"/>
                <w:szCs w:val="20"/>
              </w:rPr>
              <w:t>33,94%</w:t>
            </w:r>
          </w:p>
          <w:p w14:paraId="00D3845B" w14:textId="5267E8C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CA5391">
              <w:rPr>
                <w:rFonts w:ascii="Verdana" w:hAnsi="Verdana" w:cs="Arial"/>
                <w:sz w:val="20"/>
                <w:szCs w:val="20"/>
              </w:rPr>
              <w:t>09,42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11AA13CD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CA5391">
              <w:rPr>
                <w:rFonts w:ascii="Verdana" w:hAnsi="Verdana" w:cs="Arial"/>
                <w:sz w:val="20"/>
                <w:szCs w:val="20"/>
              </w:rPr>
              <w:t>56,65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CA5391">
              <w:rPr>
                <w:rFonts w:ascii="Verdana" w:hAnsi="Verdana" w:cs="Arial"/>
                <w:sz w:val="20"/>
                <w:szCs w:val="20"/>
              </w:rPr>
              <w:t>56,57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F21712">
              <w:rPr>
                <w:rFonts w:ascii="Verdana" w:hAnsi="Verdana" w:cs="Arial"/>
                <w:sz w:val="20"/>
                <w:szCs w:val="20"/>
              </w:rPr>
              <w:t>0</w:t>
            </w:r>
            <w:r w:rsidR="00CA5391">
              <w:rPr>
                <w:rFonts w:ascii="Verdana" w:hAnsi="Verdana" w:cs="Arial"/>
                <w:sz w:val="20"/>
                <w:szCs w:val="20"/>
              </w:rPr>
              <w:t>8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4FC90285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 w:rsidR="00637AEF">
              <w:rPr>
                <w:rFonts w:ascii="Verdana" w:hAnsi="Verdana" w:cs="Arial"/>
                <w:sz w:val="20"/>
                <w:szCs w:val="20"/>
              </w:rPr>
              <w:t xml:space="preserve"> con el 0 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8D2EA52" w14:textId="078C52CA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0364">
              <w:rPr>
                <w:rFonts w:ascii="Verdana" w:hAnsi="Verdana" w:cs="Arial"/>
                <w:sz w:val="20"/>
                <w:szCs w:val="20"/>
              </w:rPr>
              <w:t>La ejecución de los gastos de in</w:t>
            </w:r>
            <w:r>
              <w:rPr>
                <w:rFonts w:ascii="Verdana" w:hAnsi="Verdana" w:cs="Arial"/>
                <w:sz w:val="20"/>
                <w:szCs w:val="20"/>
              </w:rPr>
              <w:t>versión estuvo distribuida así:</w:t>
            </w:r>
          </w:p>
          <w:p w14:paraId="2D50CC87" w14:textId="0FC312EA" w:rsidR="00772355" w:rsidRDefault="00772355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C5540D" w14:textId="4D773030" w:rsidR="00772355" w:rsidRPr="00D11DE7" w:rsidRDefault="00772355" w:rsidP="0077235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1)Aportes de Recursos de Contrapartidas con el </w:t>
            </w:r>
            <w:r w:rsidR="00CA5391">
              <w:rPr>
                <w:rFonts w:ascii="Verdana" w:hAnsi="Verdana"/>
                <w:sz w:val="20"/>
                <w:szCs w:val="20"/>
              </w:rPr>
              <w:t>08,53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F21712">
              <w:rPr>
                <w:rFonts w:ascii="Verdana" w:hAnsi="Verdana"/>
                <w:sz w:val="20"/>
                <w:szCs w:val="20"/>
              </w:rPr>
              <w:t>660</w:t>
            </w:r>
            <w:r>
              <w:rPr>
                <w:rFonts w:ascii="Verdana" w:hAnsi="Verdana"/>
                <w:sz w:val="20"/>
                <w:szCs w:val="20"/>
              </w:rPr>
              <w:t>,0 millones se pagaron las facturas con los Convenios c</w:t>
            </w:r>
            <w:r w:rsidR="00F21712">
              <w:rPr>
                <w:rFonts w:ascii="Verdana" w:hAnsi="Verdana"/>
                <w:sz w:val="20"/>
                <w:szCs w:val="20"/>
              </w:rPr>
              <w:t>on La Fundación Acción Interna, Convenio con la Fundación Carvajal y Convenio con Corporación Econexus.</w:t>
            </w:r>
          </w:p>
          <w:p w14:paraId="385AE86C" w14:textId="77777777" w:rsidR="002D3041" w:rsidRPr="00A30364" w:rsidRDefault="002D3041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D694FE" w14:textId="3CBE9071" w:rsidR="00A30364" w:rsidRDefault="00772355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F21712">
              <w:rPr>
                <w:rFonts w:ascii="Verdana" w:hAnsi="Verdana" w:cs="Arial"/>
                <w:sz w:val="20"/>
                <w:szCs w:val="20"/>
              </w:rPr>
              <w:t>89,</w:t>
            </w:r>
            <w:r w:rsidR="00CA5391">
              <w:rPr>
                <w:rFonts w:ascii="Verdana" w:hAnsi="Verdana" w:cs="Arial"/>
                <w:sz w:val="20"/>
                <w:szCs w:val="20"/>
              </w:rPr>
              <w:t>81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F21712">
              <w:rPr>
                <w:rFonts w:ascii="Verdana" w:hAnsi="Verdana" w:cs="Arial"/>
                <w:sz w:val="20"/>
                <w:szCs w:val="20"/>
              </w:rPr>
              <w:t>6.</w:t>
            </w:r>
            <w:r w:rsidR="00CA5391">
              <w:rPr>
                <w:rFonts w:ascii="Verdana" w:hAnsi="Verdana" w:cs="Arial"/>
                <w:sz w:val="20"/>
                <w:szCs w:val="20"/>
              </w:rPr>
              <w:t>950</w:t>
            </w:r>
            <w:r w:rsidR="00A30364">
              <w:rPr>
                <w:rFonts w:ascii="Verdana" w:hAnsi="Verdana" w:cs="Arial"/>
                <w:sz w:val="20"/>
                <w:szCs w:val="20"/>
              </w:rPr>
              <w:t>,</w:t>
            </w:r>
            <w:r w:rsidR="00CA5391">
              <w:rPr>
                <w:rFonts w:ascii="Verdana" w:hAnsi="Verdana" w:cs="Arial"/>
                <w:sz w:val="20"/>
                <w:szCs w:val="20"/>
              </w:rPr>
              <w:t>8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0F1EA041" w14:textId="09DDE63A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F69822" w14:textId="62CEA45B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a)</w:t>
            </w:r>
            <w:r w:rsidR="00F66262">
              <w:rPr>
                <w:rFonts w:ascii="Verdana" w:hAnsi="Verdana" w:cs="Arial"/>
                <w:sz w:val="20"/>
                <w:szCs w:val="20"/>
              </w:rPr>
              <w:t>4</w:t>
            </w:r>
            <w:r w:rsidR="00CA5391">
              <w:rPr>
                <w:rFonts w:ascii="Verdana" w:hAnsi="Verdana" w:cs="Arial"/>
                <w:sz w:val="20"/>
                <w:szCs w:val="20"/>
              </w:rPr>
              <w:t>98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CA5391">
              <w:rPr>
                <w:rFonts w:ascii="Verdana" w:hAnsi="Verdana" w:cs="Arial"/>
                <w:sz w:val="20"/>
                <w:szCs w:val="20"/>
              </w:rPr>
              <w:t>1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proyecto” Estrategia regional de emprendimiento” financiado con recursos donados por la Unión Europea.</w:t>
            </w:r>
          </w:p>
          <w:p w14:paraId="233724DF" w14:textId="4AA9EA00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CA5391">
              <w:rPr>
                <w:rFonts w:ascii="Verdana" w:hAnsi="Verdana" w:cs="Arial"/>
                <w:sz w:val="20"/>
                <w:szCs w:val="20"/>
              </w:rPr>
              <w:t>867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CA5391">
              <w:rPr>
                <w:rFonts w:ascii="Verdana" w:hAnsi="Verdana" w:cs="Arial"/>
                <w:sz w:val="20"/>
                <w:szCs w:val="20"/>
              </w:rPr>
              <w:t>3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47701829" w14:textId="305FCB10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c)</w:t>
            </w:r>
            <w:r w:rsidR="00F21712">
              <w:rPr>
                <w:rFonts w:ascii="Verdana" w:hAnsi="Verdana" w:cs="Arial"/>
                <w:sz w:val="20"/>
                <w:szCs w:val="20"/>
              </w:rPr>
              <w:t>37,8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Gobierno de Corea.</w:t>
            </w:r>
          </w:p>
          <w:p w14:paraId="325BBC81" w14:textId="65FDE4F3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A30364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66262">
              <w:rPr>
                <w:rFonts w:ascii="Verdana" w:hAnsi="Verdana" w:cs="Arial"/>
                <w:sz w:val="20"/>
                <w:szCs w:val="20"/>
              </w:rPr>
              <w:t>88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F66262">
              <w:rPr>
                <w:rFonts w:ascii="Verdana" w:hAnsi="Verdana" w:cs="Arial"/>
                <w:sz w:val="20"/>
                <w:szCs w:val="20"/>
              </w:rPr>
              <w:t>5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BCIE.</w:t>
            </w:r>
          </w:p>
          <w:p w14:paraId="58452AB3" w14:textId="05392F7A" w:rsidR="00F21712" w:rsidRDefault="00F21712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e)5.110,2 millones, pagos del proyecto de Howard Buffet CENAM.</w:t>
            </w:r>
          </w:p>
          <w:p w14:paraId="7DDF1623" w14:textId="45637C5D" w:rsidR="00F21712" w:rsidRDefault="00F21712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F)4,1 millones, pagos del proyecto de Fondo Verde del Clima.</w:t>
            </w:r>
          </w:p>
          <w:p w14:paraId="14A6C7FD" w14:textId="5D530455" w:rsidR="00871207" w:rsidRDefault="00871207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D35ABD" w14:textId="4992867E" w:rsidR="00871207" w:rsidRDefault="00871207" w:rsidP="0087120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>
              <w:rPr>
                <w:rFonts w:ascii="Verdana" w:hAnsi="Verdana"/>
                <w:sz w:val="20"/>
                <w:szCs w:val="20"/>
              </w:rPr>
              <w:t xml:space="preserve"> Fortalecimiento de las capacidades Tecnológicas de la Información con el 0,61% de la ejecución de Inversión, equivalente a </w:t>
            </w:r>
            <w:r w:rsidR="00EF3C02">
              <w:rPr>
                <w:rFonts w:ascii="Verdana" w:hAnsi="Verdana"/>
                <w:sz w:val="20"/>
                <w:szCs w:val="20"/>
              </w:rPr>
              <w:t>58,2</w:t>
            </w:r>
            <w:r>
              <w:rPr>
                <w:rFonts w:ascii="Verdana" w:hAnsi="Verdana"/>
                <w:sz w:val="20"/>
                <w:szCs w:val="20"/>
              </w:rPr>
              <w:t xml:space="preserve"> millones para pago del servicio de </w:t>
            </w:r>
            <w:r w:rsidR="00EF3C02">
              <w:rPr>
                <w:rFonts w:ascii="Verdana" w:hAnsi="Verdana"/>
                <w:sz w:val="20"/>
                <w:szCs w:val="20"/>
              </w:rPr>
              <w:t>cuatro</w:t>
            </w:r>
            <w:r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EF3C02">
              <w:rPr>
                <w:rFonts w:ascii="Verdana" w:hAnsi="Verdana"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para la gestión del proyecto y un pago de contrato con Powersun.</w:t>
            </w:r>
          </w:p>
          <w:p w14:paraId="54DA1F66" w14:textId="6A22F92A" w:rsidR="00871207" w:rsidRPr="00A30364" w:rsidRDefault="00871207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79AE997" w14:textId="77777777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81301C1" w14:textId="55538C56" w:rsidR="001F6498" w:rsidRPr="009B7746" w:rsidRDefault="00871207" w:rsidP="00871207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) Consolidación Del Sistema Nacional De Cooperación Internacional A Nivel Nacional, con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EF3C02">
              <w:rPr>
                <w:rFonts w:ascii="Verdana" w:hAnsi="Verdana" w:cs="Arial"/>
                <w:sz w:val="20"/>
                <w:szCs w:val="20"/>
              </w:rPr>
              <w:t>91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EF3C02">
              <w:rPr>
                <w:rFonts w:ascii="Verdana" w:hAnsi="Verdana" w:cs="Arial"/>
                <w:sz w:val="20"/>
                <w:szCs w:val="20"/>
              </w:rPr>
              <w:t>70,4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millones para el pago del servicio de </w:t>
            </w:r>
            <w:r>
              <w:rPr>
                <w:rFonts w:ascii="Verdana" w:hAnsi="Verdana" w:cs="Arial"/>
                <w:sz w:val="20"/>
                <w:szCs w:val="20"/>
              </w:rPr>
              <w:t>tres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profesionale</w:t>
            </w:r>
            <w:r w:rsidR="00991080">
              <w:rPr>
                <w:rFonts w:ascii="Verdana" w:hAnsi="Verdana" w:cs="Arial"/>
                <w:sz w:val="20"/>
                <w:szCs w:val="20"/>
              </w:rPr>
              <w:t>s para la gestión del proyecto.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0ED1"/>
    <w:multiLevelType w:val="hybridMultilevel"/>
    <w:tmpl w:val="A0A20E70"/>
    <w:lvl w:ilvl="0" w:tplc="DAD83152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18D5"/>
    <w:multiLevelType w:val="hybridMultilevel"/>
    <w:tmpl w:val="3410B114"/>
    <w:lvl w:ilvl="0" w:tplc="693A4270">
      <w:start w:val="2"/>
      <w:numFmt w:val="upperLetter"/>
      <w:lvlText w:val="%1)"/>
      <w:lvlJc w:val="left"/>
      <w:pPr>
        <w:ind w:left="435" w:hanging="360"/>
      </w:pPr>
      <w:rPr>
        <w:rFonts w:cstheme="minorBidi"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4A83F4C"/>
    <w:multiLevelType w:val="hybridMultilevel"/>
    <w:tmpl w:val="1D78E508"/>
    <w:lvl w:ilvl="0" w:tplc="FF04F12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638B"/>
    <w:multiLevelType w:val="hybridMultilevel"/>
    <w:tmpl w:val="BD7A7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3EE6"/>
    <w:multiLevelType w:val="hybridMultilevel"/>
    <w:tmpl w:val="5F5EF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E5D"/>
    <w:multiLevelType w:val="hybridMultilevel"/>
    <w:tmpl w:val="AA5C1D26"/>
    <w:lvl w:ilvl="0" w:tplc="8F8699EA">
      <w:start w:val="1"/>
      <w:numFmt w:val="upperLetter"/>
      <w:lvlText w:val="%1)"/>
      <w:lvlJc w:val="left"/>
      <w:pPr>
        <w:ind w:left="43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8"/>
  </w:num>
  <w:num w:numId="5">
    <w:abstractNumId w:val="19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7"/>
  </w:num>
  <w:num w:numId="12">
    <w:abstractNumId w:val="23"/>
  </w:num>
  <w:num w:numId="13">
    <w:abstractNumId w:val="22"/>
  </w:num>
  <w:num w:numId="14">
    <w:abstractNumId w:val="3"/>
  </w:num>
  <w:num w:numId="15">
    <w:abstractNumId w:val="20"/>
  </w:num>
  <w:num w:numId="16">
    <w:abstractNumId w:val="6"/>
  </w:num>
  <w:num w:numId="17">
    <w:abstractNumId w:val="14"/>
  </w:num>
  <w:num w:numId="18">
    <w:abstractNumId w:val="0"/>
  </w:num>
  <w:num w:numId="19">
    <w:abstractNumId w:val="12"/>
  </w:num>
  <w:num w:numId="20">
    <w:abstractNumId w:val="24"/>
  </w:num>
  <w:num w:numId="21">
    <w:abstractNumId w:val="16"/>
  </w:num>
  <w:num w:numId="22">
    <w:abstractNumId w:val="15"/>
  </w:num>
  <w:num w:numId="23">
    <w:abstractNumId w:val="11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5E62"/>
    <w:rsid w:val="00007621"/>
    <w:rsid w:val="000101B6"/>
    <w:rsid w:val="00012B2E"/>
    <w:rsid w:val="000135D9"/>
    <w:rsid w:val="000145BA"/>
    <w:rsid w:val="000213C5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5FC6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0DAF"/>
    <w:rsid w:val="00072D5B"/>
    <w:rsid w:val="00072FC6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0B02"/>
    <w:rsid w:val="00091634"/>
    <w:rsid w:val="00091CF9"/>
    <w:rsid w:val="00091DEB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5EC"/>
    <w:rsid w:val="000B688F"/>
    <w:rsid w:val="000C0F06"/>
    <w:rsid w:val="000C13DC"/>
    <w:rsid w:val="000C5C51"/>
    <w:rsid w:val="000C745E"/>
    <w:rsid w:val="000D0CCE"/>
    <w:rsid w:val="000D25B0"/>
    <w:rsid w:val="000D2AFD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515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E6E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36974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1E6C"/>
    <w:rsid w:val="00182BFD"/>
    <w:rsid w:val="00182C5F"/>
    <w:rsid w:val="0018536E"/>
    <w:rsid w:val="00185DD7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5763"/>
    <w:rsid w:val="001D7680"/>
    <w:rsid w:val="001E0801"/>
    <w:rsid w:val="001E1189"/>
    <w:rsid w:val="001E1C8B"/>
    <w:rsid w:val="001E22C0"/>
    <w:rsid w:val="001E2EA5"/>
    <w:rsid w:val="001E4610"/>
    <w:rsid w:val="001E4FA5"/>
    <w:rsid w:val="001E5A6C"/>
    <w:rsid w:val="001E6568"/>
    <w:rsid w:val="001E6F30"/>
    <w:rsid w:val="001E7DFA"/>
    <w:rsid w:val="001F29FE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9E6"/>
    <w:rsid w:val="00220BAC"/>
    <w:rsid w:val="00222350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97D"/>
    <w:rsid w:val="00265A04"/>
    <w:rsid w:val="00265D9B"/>
    <w:rsid w:val="0027249A"/>
    <w:rsid w:val="00273008"/>
    <w:rsid w:val="00274952"/>
    <w:rsid w:val="00274FB5"/>
    <w:rsid w:val="00275339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2751"/>
    <w:rsid w:val="002C4438"/>
    <w:rsid w:val="002C483A"/>
    <w:rsid w:val="002C5256"/>
    <w:rsid w:val="002C53DD"/>
    <w:rsid w:val="002C63AF"/>
    <w:rsid w:val="002D03FC"/>
    <w:rsid w:val="002D0C5C"/>
    <w:rsid w:val="002D1A02"/>
    <w:rsid w:val="002D3041"/>
    <w:rsid w:val="002D4564"/>
    <w:rsid w:val="002D4C07"/>
    <w:rsid w:val="002D5316"/>
    <w:rsid w:val="002D5AE0"/>
    <w:rsid w:val="002D6765"/>
    <w:rsid w:val="002D6DF6"/>
    <w:rsid w:val="002E19CE"/>
    <w:rsid w:val="002E29EF"/>
    <w:rsid w:val="002E5AF1"/>
    <w:rsid w:val="002F06C2"/>
    <w:rsid w:val="002F433E"/>
    <w:rsid w:val="002F4FDB"/>
    <w:rsid w:val="002F531E"/>
    <w:rsid w:val="002F77CB"/>
    <w:rsid w:val="00302CBA"/>
    <w:rsid w:val="0030355A"/>
    <w:rsid w:val="003074AA"/>
    <w:rsid w:val="003110C1"/>
    <w:rsid w:val="0031126C"/>
    <w:rsid w:val="00313B5F"/>
    <w:rsid w:val="00315431"/>
    <w:rsid w:val="00315643"/>
    <w:rsid w:val="00316E86"/>
    <w:rsid w:val="00317ABF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37D59"/>
    <w:rsid w:val="00341497"/>
    <w:rsid w:val="00342BC9"/>
    <w:rsid w:val="00344DCE"/>
    <w:rsid w:val="00347499"/>
    <w:rsid w:val="0034775A"/>
    <w:rsid w:val="00347F9C"/>
    <w:rsid w:val="00350551"/>
    <w:rsid w:val="00353B9A"/>
    <w:rsid w:val="00355DFC"/>
    <w:rsid w:val="003629E9"/>
    <w:rsid w:val="00363008"/>
    <w:rsid w:val="00363BED"/>
    <w:rsid w:val="0036503D"/>
    <w:rsid w:val="003656E7"/>
    <w:rsid w:val="00365E78"/>
    <w:rsid w:val="0036641A"/>
    <w:rsid w:val="0037032C"/>
    <w:rsid w:val="003725D8"/>
    <w:rsid w:val="00374439"/>
    <w:rsid w:val="003754DB"/>
    <w:rsid w:val="00375F1F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5057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53EF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132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2F00"/>
    <w:rsid w:val="003F347F"/>
    <w:rsid w:val="003F607B"/>
    <w:rsid w:val="00401CBD"/>
    <w:rsid w:val="00403E49"/>
    <w:rsid w:val="00404E97"/>
    <w:rsid w:val="00411873"/>
    <w:rsid w:val="00412D82"/>
    <w:rsid w:val="00413E0C"/>
    <w:rsid w:val="00415A61"/>
    <w:rsid w:val="004162C2"/>
    <w:rsid w:val="004201F5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1DC9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055"/>
    <w:rsid w:val="004952EB"/>
    <w:rsid w:val="00496035"/>
    <w:rsid w:val="00496162"/>
    <w:rsid w:val="004969E0"/>
    <w:rsid w:val="004A0BBE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0D93"/>
    <w:rsid w:val="004B35F0"/>
    <w:rsid w:val="004B5269"/>
    <w:rsid w:val="004C43E8"/>
    <w:rsid w:val="004C471E"/>
    <w:rsid w:val="004C5B4B"/>
    <w:rsid w:val="004C6454"/>
    <w:rsid w:val="004C6D5A"/>
    <w:rsid w:val="004D29CE"/>
    <w:rsid w:val="004D29D4"/>
    <w:rsid w:val="004D51DB"/>
    <w:rsid w:val="004D5329"/>
    <w:rsid w:val="004D5344"/>
    <w:rsid w:val="004D5B1A"/>
    <w:rsid w:val="004D66CC"/>
    <w:rsid w:val="004D71C5"/>
    <w:rsid w:val="004E2C60"/>
    <w:rsid w:val="004E301F"/>
    <w:rsid w:val="004E390C"/>
    <w:rsid w:val="004E4201"/>
    <w:rsid w:val="004E52EC"/>
    <w:rsid w:val="004E5B75"/>
    <w:rsid w:val="004E6A4F"/>
    <w:rsid w:val="004F111B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2DD0"/>
    <w:rsid w:val="005238A0"/>
    <w:rsid w:val="00524876"/>
    <w:rsid w:val="00524F43"/>
    <w:rsid w:val="00525787"/>
    <w:rsid w:val="005274AA"/>
    <w:rsid w:val="00527BBB"/>
    <w:rsid w:val="00527C49"/>
    <w:rsid w:val="0053199E"/>
    <w:rsid w:val="00532ACA"/>
    <w:rsid w:val="005341C8"/>
    <w:rsid w:val="005365D4"/>
    <w:rsid w:val="00536711"/>
    <w:rsid w:val="0054126C"/>
    <w:rsid w:val="00541CCA"/>
    <w:rsid w:val="00543E04"/>
    <w:rsid w:val="00545594"/>
    <w:rsid w:val="00551A00"/>
    <w:rsid w:val="005536DB"/>
    <w:rsid w:val="00554D2D"/>
    <w:rsid w:val="00554E60"/>
    <w:rsid w:val="00555FD5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56B9"/>
    <w:rsid w:val="005778FA"/>
    <w:rsid w:val="00580B9A"/>
    <w:rsid w:val="00580D94"/>
    <w:rsid w:val="00582BF7"/>
    <w:rsid w:val="00585E78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044C"/>
    <w:rsid w:val="005D13E1"/>
    <w:rsid w:val="005D25DE"/>
    <w:rsid w:val="005D31F7"/>
    <w:rsid w:val="005D5AF0"/>
    <w:rsid w:val="005E19B2"/>
    <w:rsid w:val="005E20B2"/>
    <w:rsid w:val="005E3DCF"/>
    <w:rsid w:val="005E42A6"/>
    <w:rsid w:val="005E44A1"/>
    <w:rsid w:val="005E47D4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5F65DA"/>
    <w:rsid w:val="00602145"/>
    <w:rsid w:val="00602376"/>
    <w:rsid w:val="0060351C"/>
    <w:rsid w:val="00605566"/>
    <w:rsid w:val="006056D1"/>
    <w:rsid w:val="00606BC1"/>
    <w:rsid w:val="006108A7"/>
    <w:rsid w:val="00610F4C"/>
    <w:rsid w:val="00613D78"/>
    <w:rsid w:val="00614A5F"/>
    <w:rsid w:val="00614AB4"/>
    <w:rsid w:val="0061622B"/>
    <w:rsid w:val="00616429"/>
    <w:rsid w:val="0061672C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37AE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498A"/>
    <w:rsid w:val="00685F8E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6DAD"/>
    <w:rsid w:val="006A72E5"/>
    <w:rsid w:val="006B02C1"/>
    <w:rsid w:val="006B077F"/>
    <w:rsid w:val="006B117F"/>
    <w:rsid w:val="006B118E"/>
    <w:rsid w:val="006B1AA9"/>
    <w:rsid w:val="006B264B"/>
    <w:rsid w:val="006B3A96"/>
    <w:rsid w:val="006B3C37"/>
    <w:rsid w:val="006B6936"/>
    <w:rsid w:val="006C12E6"/>
    <w:rsid w:val="006C17AC"/>
    <w:rsid w:val="006C3142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33EF"/>
    <w:rsid w:val="007278B8"/>
    <w:rsid w:val="0073047C"/>
    <w:rsid w:val="007309D3"/>
    <w:rsid w:val="00733BB9"/>
    <w:rsid w:val="00733F8C"/>
    <w:rsid w:val="00737395"/>
    <w:rsid w:val="0074105A"/>
    <w:rsid w:val="00742087"/>
    <w:rsid w:val="007421FA"/>
    <w:rsid w:val="007431B2"/>
    <w:rsid w:val="007442ED"/>
    <w:rsid w:val="00746AE6"/>
    <w:rsid w:val="00747139"/>
    <w:rsid w:val="007522F9"/>
    <w:rsid w:val="00754541"/>
    <w:rsid w:val="00757E1D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72355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096C"/>
    <w:rsid w:val="007B19CC"/>
    <w:rsid w:val="007B2A21"/>
    <w:rsid w:val="007B376F"/>
    <w:rsid w:val="007B3FC8"/>
    <w:rsid w:val="007B4631"/>
    <w:rsid w:val="007B549C"/>
    <w:rsid w:val="007B6623"/>
    <w:rsid w:val="007B7B33"/>
    <w:rsid w:val="007C1270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4110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1F0A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47A9C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207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49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17FC"/>
    <w:rsid w:val="008A263B"/>
    <w:rsid w:val="008A5C5C"/>
    <w:rsid w:val="008A6D46"/>
    <w:rsid w:val="008A74F6"/>
    <w:rsid w:val="008A779F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60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67413"/>
    <w:rsid w:val="00971D95"/>
    <w:rsid w:val="009723A9"/>
    <w:rsid w:val="009732F3"/>
    <w:rsid w:val="0097452A"/>
    <w:rsid w:val="00975554"/>
    <w:rsid w:val="009763B1"/>
    <w:rsid w:val="00976B85"/>
    <w:rsid w:val="00980D81"/>
    <w:rsid w:val="00981DC4"/>
    <w:rsid w:val="0098385D"/>
    <w:rsid w:val="009849B3"/>
    <w:rsid w:val="0098510A"/>
    <w:rsid w:val="009854A9"/>
    <w:rsid w:val="009855D0"/>
    <w:rsid w:val="009861FC"/>
    <w:rsid w:val="009866FA"/>
    <w:rsid w:val="00987AEF"/>
    <w:rsid w:val="00990168"/>
    <w:rsid w:val="00990539"/>
    <w:rsid w:val="00991080"/>
    <w:rsid w:val="0099171C"/>
    <w:rsid w:val="00995736"/>
    <w:rsid w:val="00995D66"/>
    <w:rsid w:val="00995F60"/>
    <w:rsid w:val="009960C5"/>
    <w:rsid w:val="00996DA9"/>
    <w:rsid w:val="009A045C"/>
    <w:rsid w:val="009A0B52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EA6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58F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0364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471FB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6A0"/>
    <w:rsid w:val="00AF5BDE"/>
    <w:rsid w:val="00AF6CA5"/>
    <w:rsid w:val="00AF7741"/>
    <w:rsid w:val="00B0138B"/>
    <w:rsid w:val="00B01B6B"/>
    <w:rsid w:val="00B020B8"/>
    <w:rsid w:val="00B02350"/>
    <w:rsid w:val="00B03A86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8A1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C6F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5462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6B6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39B4"/>
    <w:rsid w:val="00CA4EC6"/>
    <w:rsid w:val="00CA5391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6FF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72E"/>
    <w:rsid w:val="00D06EEA"/>
    <w:rsid w:val="00D07F51"/>
    <w:rsid w:val="00D1189A"/>
    <w:rsid w:val="00D118AE"/>
    <w:rsid w:val="00D11DE7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5DE"/>
    <w:rsid w:val="00D4262F"/>
    <w:rsid w:val="00D42DA8"/>
    <w:rsid w:val="00D434B4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A7BDB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1406"/>
    <w:rsid w:val="00E02A10"/>
    <w:rsid w:val="00E02A65"/>
    <w:rsid w:val="00E02F43"/>
    <w:rsid w:val="00E04106"/>
    <w:rsid w:val="00E04F3F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4DD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69F6"/>
    <w:rsid w:val="00EE7650"/>
    <w:rsid w:val="00EE79B7"/>
    <w:rsid w:val="00EF1061"/>
    <w:rsid w:val="00EF2BB4"/>
    <w:rsid w:val="00EF3A5D"/>
    <w:rsid w:val="00EF3C02"/>
    <w:rsid w:val="00EF4664"/>
    <w:rsid w:val="00EF5BB8"/>
    <w:rsid w:val="00EF7C31"/>
    <w:rsid w:val="00F00146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1FB"/>
    <w:rsid w:val="00F132BB"/>
    <w:rsid w:val="00F13BCC"/>
    <w:rsid w:val="00F13DEF"/>
    <w:rsid w:val="00F14E61"/>
    <w:rsid w:val="00F16153"/>
    <w:rsid w:val="00F16EBD"/>
    <w:rsid w:val="00F17535"/>
    <w:rsid w:val="00F20EFA"/>
    <w:rsid w:val="00F21712"/>
    <w:rsid w:val="00F21F46"/>
    <w:rsid w:val="00F2219E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384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3A16"/>
    <w:rsid w:val="00F57B74"/>
    <w:rsid w:val="00F61580"/>
    <w:rsid w:val="00F62A5A"/>
    <w:rsid w:val="00F63B1A"/>
    <w:rsid w:val="00F642D9"/>
    <w:rsid w:val="00F652F6"/>
    <w:rsid w:val="00F65B30"/>
    <w:rsid w:val="00F66262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D683B"/>
    <w:rsid w:val="00FE29F3"/>
    <w:rsid w:val="00FE2AB4"/>
    <w:rsid w:val="00FE2CFD"/>
    <w:rsid w:val="00FE5752"/>
    <w:rsid w:val="00FE5A1D"/>
    <w:rsid w:val="00FE63AA"/>
    <w:rsid w:val="00FF062E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69F531C-D470-43D7-8514-17D7A4D7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Nathalia Londoño</cp:lastModifiedBy>
  <cp:revision>52</cp:revision>
  <cp:lastPrinted>2017-02-23T16:56:00Z</cp:lastPrinted>
  <dcterms:created xsi:type="dcterms:W3CDTF">2021-05-07T22:07:00Z</dcterms:created>
  <dcterms:modified xsi:type="dcterms:W3CDTF">2021-07-14T21:39:00Z</dcterms:modified>
</cp:coreProperties>
</file>