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61079302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E01406">
        <w:rPr>
          <w:rFonts w:ascii="Verdana" w:hAnsi="Verdana"/>
          <w:b/>
          <w:sz w:val="22"/>
          <w:szCs w:val="20"/>
        </w:rPr>
        <w:t>31 de marzo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9E358F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9E358F">
        <w:trPr>
          <w:trHeight w:val="43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DF4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73FD55D8" w:rsidR="00A67EEC" w:rsidRPr="00D11DE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1406" w:rsidRPr="00D11DE7">
              <w:rPr>
                <w:rFonts w:ascii="Verdana" w:hAnsi="Verdana"/>
                <w:sz w:val="20"/>
                <w:szCs w:val="20"/>
              </w:rPr>
              <w:t>10.128,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5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1DE7">
              <w:rPr>
                <w:rFonts w:ascii="Verdana" w:hAnsi="Verdana"/>
                <w:sz w:val="20"/>
                <w:szCs w:val="20"/>
              </w:rPr>
              <w:t>/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104.452,5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9,70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D11DE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5062D634" w:rsidR="00967413" w:rsidRPr="00D11DE7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E01406" w:rsidRPr="00D11DE7">
              <w:rPr>
                <w:rFonts w:ascii="Verdana" w:hAnsi="Verdana"/>
                <w:sz w:val="20"/>
                <w:szCs w:val="20"/>
              </w:rPr>
              <w:t>31 de marzo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202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9,70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10.128</w:t>
            </w:r>
            <w:r w:rsidR="00522DD0" w:rsidRPr="00D11DE7">
              <w:rPr>
                <w:rFonts w:ascii="Verdana" w:hAnsi="Verdana"/>
                <w:sz w:val="20"/>
                <w:szCs w:val="20"/>
              </w:rPr>
              <w:t>,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5,87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3.995</w:t>
            </w:r>
            <w:r w:rsidR="00522DD0" w:rsidRPr="00D11DE7">
              <w:rPr>
                <w:rFonts w:ascii="Verdana" w:hAnsi="Verdana"/>
                <w:sz w:val="20"/>
                <w:szCs w:val="20"/>
              </w:rPr>
              <w:t>,</w:t>
            </w:r>
            <w:r w:rsidR="009E358F" w:rsidRPr="00D11DE7">
              <w:rPr>
                <w:rFonts w:ascii="Verdana" w:hAnsi="Verdana"/>
                <w:sz w:val="20"/>
                <w:szCs w:val="20"/>
              </w:rPr>
              <w:t>1</w:t>
            </w:r>
            <w:r w:rsidRPr="00D11DE7">
              <w:rPr>
                <w:rFonts w:ascii="Verdana" w:hAnsi="Verdana"/>
                <w:sz w:val="20"/>
                <w:szCs w:val="20"/>
              </w:rPr>
              <w:t>, millones, el cual se explica de la siguiente manera:</w:t>
            </w:r>
          </w:p>
          <w:p w14:paraId="6A144967" w14:textId="77777777" w:rsidR="00D42DA8" w:rsidRPr="00D11DE7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11DE7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11DE7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582B7B81" w:rsidR="00CB005B" w:rsidRPr="00D11DE7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55,2</w:t>
            </w:r>
            <w:r w:rsidR="00451DC9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debido a que se han presentado renuncias de </w:t>
            </w:r>
            <w:r w:rsidR="00E754DD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v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a</w:t>
            </w:r>
            <w:r w:rsidR="00E754DD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rios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cargos de la agencia.</w:t>
            </w:r>
          </w:p>
          <w:p w14:paraId="69A072C2" w14:textId="7F76B2FA" w:rsidR="00401CBD" w:rsidRPr="00D11DE7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Déficit en adquisición de bienes y servicios por </w:t>
            </w:r>
            <w:r w:rsidR="00F42384" w:rsidRPr="00D11DE7">
              <w:rPr>
                <w:rFonts w:ascii="Verdana" w:hAnsi="Verdana" w:cs="Arial"/>
                <w:sz w:val="20"/>
                <w:szCs w:val="20"/>
              </w:rPr>
              <w:t>108,6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millones, debido a que 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>no se registraron los contratos de soporte Ciclope y Brújula.</w:t>
            </w:r>
          </w:p>
          <w:p w14:paraId="36C27484" w14:textId="1EDE5C6D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Superávit en el rubro de FOCAI por 1.015,9 millones </w:t>
            </w:r>
            <w:r w:rsidR="005E47D4" w:rsidRPr="00D11DE7">
              <w:rPr>
                <w:rFonts w:ascii="Verdana" w:hAnsi="Verdana" w:cs="Arial"/>
                <w:sz w:val="20"/>
                <w:szCs w:val="20"/>
              </w:rPr>
              <w:t>se cumplió la meta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 w:rsidRPr="00D11DE7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5,5 millones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>de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 w:rsidRPr="00D11DE7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Pr="00D11DE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9F37FE" w14:textId="48966045" w:rsidR="00821F0A" w:rsidRPr="00D11DE7" w:rsidRDefault="00A67EEC" w:rsidP="001F29F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26597D" w:rsidRPr="00D11DE7">
              <w:rPr>
                <w:rFonts w:ascii="Verdana" w:hAnsi="Verdana"/>
                <w:sz w:val="20"/>
                <w:szCs w:val="20"/>
              </w:rPr>
              <w:t>3.154,2</w:t>
            </w:r>
            <w:r w:rsidR="00BD1B66" w:rsidRPr="00D11DE7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 w:rsidRPr="00D11DE7">
              <w:rPr>
                <w:rFonts w:ascii="Verdana" w:hAnsi="Verdana"/>
                <w:sz w:val="20"/>
                <w:szCs w:val="20"/>
              </w:rPr>
              <w:t>que se comprometieron contratos por el rubro de Administración de recursos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 xml:space="preserve"> por </w:t>
            </w:r>
            <w:r w:rsidR="00116E6E" w:rsidRPr="00D11DE7">
              <w:rPr>
                <w:rFonts w:ascii="Verdana" w:hAnsi="Verdana"/>
                <w:sz w:val="20"/>
                <w:szCs w:val="20"/>
              </w:rPr>
              <w:t>el proyecto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1F29FE" w:rsidRPr="00D11DE7">
              <w:rPr>
                <w:rFonts w:ascii="Verdana" w:hAnsi="Verdana"/>
                <w:sz w:val="20"/>
                <w:szCs w:val="20"/>
              </w:rPr>
              <w:t>Howard Buffett</w:t>
            </w:r>
            <w:r w:rsidR="00116E6E" w:rsidRPr="00D11DE7">
              <w:rPr>
                <w:rFonts w:ascii="Verdana" w:hAnsi="Verdana"/>
                <w:sz w:val="20"/>
                <w:szCs w:val="20"/>
              </w:rPr>
              <w:t xml:space="preserve"> Catatumbo Sostenible</w:t>
            </w:r>
            <w:r w:rsidR="001F29FE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 xml:space="preserve">se </w:t>
            </w:r>
            <w:r w:rsidR="001F29FE" w:rsidRPr="00D11DE7">
              <w:rPr>
                <w:rFonts w:ascii="Verdana" w:hAnsi="Verdana"/>
                <w:sz w:val="20"/>
                <w:szCs w:val="20"/>
              </w:rPr>
              <w:t xml:space="preserve">adelantó la contratación de </w:t>
            </w:r>
            <w:r w:rsidR="00116E6E" w:rsidRPr="00D11DE7">
              <w:rPr>
                <w:rFonts w:ascii="Verdana" w:hAnsi="Verdana"/>
                <w:sz w:val="20"/>
                <w:szCs w:val="20"/>
              </w:rPr>
              <w:t>dos interventorías que se tenias previstas para el mes de abril.</w:t>
            </w:r>
          </w:p>
          <w:p w14:paraId="39ED14A1" w14:textId="77777777" w:rsidR="00821F0A" w:rsidRPr="00D11DE7" w:rsidRDefault="00821F0A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57152BE2" w:rsidR="00464CE7" w:rsidRPr="00D11DE7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</w:rPr>
              <w:t xml:space="preserve">El </w:t>
            </w:r>
            <w:r w:rsidR="00116E6E" w:rsidRPr="00D11DE7">
              <w:rPr>
                <w:rFonts w:ascii="Verdana" w:hAnsi="Verdana"/>
                <w:sz w:val="20"/>
              </w:rPr>
              <w:t>44,65</w:t>
            </w:r>
            <w:r w:rsidRPr="00D11DE7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116E6E" w:rsidRPr="00D11DE7">
              <w:rPr>
                <w:rFonts w:ascii="Verdana" w:hAnsi="Verdana"/>
                <w:sz w:val="20"/>
              </w:rPr>
              <w:t>55,35</w:t>
            </w:r>
            <w:r w:rsidRPr="00D11DE7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D11DE7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642EDC" w14:textId="527278FF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46,81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3069CE16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28,70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18AC78D3" w:rsidR="00A2238C" w:rsidRPr="00D11DE7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3) Los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24,48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24,34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Pr="00D11DE7">
              <w:rPr>
                <w:rFonts w:ascii="Verdana" w:hAnsi="Verdana" w:cs="Arial"/>
                <w:sz w:val="20"/>
                <w:szCs w:val="20"/>
              </w:rPr>
              <w:t>0,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14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Pr="00D11DE7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4) Los gastos por tributos, multas, sanciones e intereses de mora presentan el 0,</w:t>
            </w:r>
            <w:r w:rsidR="003D132A" w:rsidRPr="00D11DE7">
              <w:rPr>
                <w:rFonts w:ascii="Verdana" w:hAnsi="Verdana" w:cs="Arial"/>
                <w:sz w:val="20"/>
                <w:szCs w:val="20"/>
              </w:rPr>
              <w:t>00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D11DE7" w:rsidRDefault="002D3041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AB455" w14:textId="55A61175" w:rsidR="00E1676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1FFA5BB9" w14:textId="39458775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D8832" w14:textId="7831962C" w:rsidR="00A67EEC" w:rsidRPr="00D11DE7" w:rsidRDefault="0022235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98,20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5.505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2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4C7CB" w14:textId="0A1638A6" w:rsidR="00D11DE7" w:rsidRPr="00D11DE7" w:rsidRDefault="00D11DE7" w:rsidP="00D11DE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188,5 millones por cuenta del proyecto de BCIE.</w:t>
            </w:r>
          </w:p>
          <w:p w14:paraId="4226A621" w14:textId="1187FB25" w:rsidR="00A2238C" w:rsidRPr="00D11DE7" w:rsidRDefault="00D11DE7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486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,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1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 w:rsidRPr="00D11DE7">
              <w:rPr>
                <w:rFonts w:ascii="Verdana" w:hAnsi="Verdana"/>
                <w:sz w:val="20"/>
                <w:szCs w:val="20"/>
              </w:rPr>
              <w:t>l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28BA6ED1" w14:textId="1B786A74" w:rsidR="00D11DE7" w:rsidRPr="00D11DE7" w:rsidRDefault="00D11DE7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197,3 millones por cuenta del proyecto del Gobierno de Corea.</w:t>
            </w:r>
          </w:p>
          <w:p w14:paraId="7598AB18" w14:textId="3ABB4656" w:rsidR="00D11DE7" w:rsidRPr="00D11DE7" w:rsidRDefault="00D11DE7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244,5 millones por cuenta del proyecto del Gobierno de Portugal.</w:t>
            </w:r>
          </w:p>
          <w:p w14:paraId="67DBF5B8" w14:textId="77777777" w:rsidR="00D11DE7" w:rsidRPr="00D11DE7" w:rsidRDefault="00403E49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1.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311</w:t>
            </w:r>
            <w:r w:rsidRPr="00D11DE7">
              <w:rPr>
                <w:rFonts w:ascii="Verdana" w:hAnsi="Verdana"/>
                <w:sz w:val="20"/>
                <w:szCs w:val="20"/>
              </w:rPr>
              <w:t>,4 millones por cuenta del proyecto Howard Buffet Apoyo Desminado Terrestre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.</w:t>
            </w:r>
          </w:p>
          <w:p w14:paraId="5FC021EB" w14:textId="1EACD7B5" w:rsidR="00A67EEC" w:rsidRPr="00D11DE7" w:rsidRDefault="00D11DE7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1.311,4 millones por cu</w:t>
            </w:r>
            <w:r w:rsidRPr="00D11DE7">
              <w:rPr>
                <w:rFonts w:ascii="Verdana" w:hAnsi="Verdana"/>
                <w:sz w:val="20"/>
                <w:szCs w:val="20"/>
              </w:rPr>
              <w:t>enta del proyecto Howard Buffet Catatumbo Sostenible.</w:t>
            </w:r>
          </w:p>
          <w:p w14:paraId="6BEC2E0C" w14:textId="77777777" w:rsidR="00D11DE7" w:rsidRPr="00D11DE7" w:rsidRDefault="00D11DE7" w:rsidP="00D11DE7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691EA936" w:rsidR="00F57B74" w:rsidRPr="00D11DE7" w:rsidRDefault="004201F5" w:rsidP="004A0BB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2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>)</w:t>
            </w:r>
            <w:r w:rsidR="00C62003" w:rsidRPr="00D11DE7">
              <w:t xml:space="preserve">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Nivel Nacional, con el </w:t>
            </w:r>
            <w:r w:rsidR="00D11DE7">
              <w:rPr>
                <w:rFonts w:ascii="Verdana" w:hAnsi="Verdana"/>
                <w:sz w:val="20"/>
                <w:szCs w:val="20"/>
              </w:rPr>
              <w:t>1,80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lastRenderedPageBreak/>
              <w:t xml:space="preserve">inversión, equivalente a 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100,7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4A0BBE">
              <w:rPr>
                <w:rFonts w:ascii="Verdana" w:hAnsi="Verdana"/>
                <w:sz w:val="20"/>
                <w:szCs w:val="20"/>
              </w:rPr>
              <w:t xml:space="preserve">dos </w:t>
            </w:r>
            <w:r w:rsidRPr="00D11DE7">
              <w:rPr>
                <w:rFonts w:ascii="Verdana" w:hAnsi="Verdana"/>
                <w:sz w:val="20"/>
                <w:szCs w:val="20"/>
              </w:rPr>
              <w:t>profesional</w:t>
            </w:r>
            <w:r w:rsidR="004A0BBE">
              <w:rPr>
                <w:rFonts w:ascii="Verdana" w:hAnsi="Verdana"/>
                <w:sz w:val="20"/>
                <w:szCs w:val="20"/>
              </w:rPr>
              <w:t>es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 w:rsidRPr="00D11DE7">
              <w:rPr>
                <w:rFonts w:ascii="Verdana" w:hAnsi="Verdana"/>
                <w:sz w:val="20"/>
                <w:szCs w:val="20"/>
              </w:rPr>
              <w:t>proyecto</w:t>
            </w:r>
            <w:r w:rsidR="00B468A1" w:rsidRPr="00D11DE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00C80555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6E6E">
              <w:rPr>
                <w:rFonts w:ascii="Verdana" w:hAnsi="Verdana"/>
                <w:sz w:val="20"/>
                <w:szCs w:val="20"/>
              </w:rPr>
              <w:t>5.141,5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3D132A">
              <w:rPr>
                <w:rFonts w:ascii="Verdana" w:hAnsi="Verdana"/>
                <w:sz w:val="20"/>
                <w:szCs w:val="20"/>
              </w:rPr>
              <w:t>104.452,5</w:t>
            </w:r>
            <w:r w:rsidR="003D132A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116E6E">
              <w:rPr>
                <w:rFonts w:ascii="Verdana" w:hAnsi="Verdana"/>
                <w:sz w:val="20"/>
                <w:szCs w:val="20"/>
              </w:rPr>
              <w:t>4</w:t>
            </w:r>
            <w:r w:rsidR="00385057">
              <w:rPr>
                <w:rFonts w:ascii="Verdana" w:hAnsi="Verdana"/>
                <w:sz w:val="20"/>
                <w:szCs w:val="20"/>
              </w:rPr>
              <w:t>,</w:t>
            </w:r>
            <w:r w:rsidR="00116E6E">
              <w:rPr>
                <w:rFonts w:ascii="Verdana" w:hAnsi="Verdana"/>
                <w:sz w:val="20"/>
                <w:szCs w:val="20"/>
              </w:rPr>
              <w:t>92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56BE4FB6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6E6E">
              <w:rPr>
                <w:rFonts w:ascii="Verdana" w:hAnsi="Verdana"/>
                <w:sz w:val="20"/>
                <w:szCs w:val="20"/>
              </w:rPr>
              <w:t>31 de marzo</w:t>
            </w:r>
            <w:r w:rsidR="00D0300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116E6E">
              <w:rPr>
                <w:rFonts w:ascii="Verdana" w:hAnsi="Verdana"/>
                <w:sz w:val="20"/>
                <w:szCs w:val="20"/>
              </w:rPr>
              <w:t>4,92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116E6E">
              <w:rPr>
                <w:rFonts w:ascii="Verdana" w:hAnsi="Verdana"/>
                <w:sz w:val="20"/>
                <w:szCs w:val="20"/>
              </w:rPr>
              <w:t>5.141,5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116E6E">
              <w:rPr>
                <w:rFonts w:ascii="Verdana" w:hAnsi="Verdana"/>
                <w:sz w:val="20"/>
                <w:szCs w:val="20"/>
              </w:rPr>
              <w:t>3,12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C55462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116E6E">
              <w:rPr>
                <w:rFonts w:ascii="Verdana" w:hAnsi="Verdana"/>
                <w:sz w:val="20"/>
                <w:szCs w:val="20"/>
              </w:rPr>
              <w:t>1.878,2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1701D7A" w14:textId="011DB2CF" w:rsidR="00116E6E" w:rsidRDefault="00A67EEC" w:rsidP="00116E6E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1)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Gastos de Personal por 55,2 millones, debido a que se han presentado renuncias de varios cargos de la agencia.</w:t>
            </w:r>
          </w:p>
          <w:p w14:paraId="34C3BEB4" w14:textId="1B1844DB" w:rsidR="00EE3850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Superávit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186,5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debido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al pago de la factura de arriendo anticipadamente.</w:t>
            </w:r>
          </w:p>
          <w:p w14:paraId="25F18782" w14:textId="63DB2924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i)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Superávit en el rubro de FOCAI por 1.015,9 millones se cumplió la meta.</w:t>
            </w:r>
            <w:r w:rsidR="00275339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déficit de </w:t>
            </w:r>
            <w:r w:rsidR="00275339">
              <w:rPr>
                <w:rFonts w:ascii="Verdana" w:hAnsi="Verdana" w:cs="Arial"/>
                <w:sz w:val="20"/>
                <w:szCs w:val="20"/>
              </w:rPr>
              <w:t>7,5 millones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4CE376" w14:textId="1E5DB625" w:rsidR="0068498A" w:rsidRPr="009960C5" w:rsidRDefault="009960C5" w:rsidP="009960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B) </w:t>
            </w:r>
            <w:r w:rsidR="00A750DC"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9960C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60C5">
              <w:rPr>
                <w:rFonts w:ascii="Verdana" w:hAnsi="Verdana"/>
                <w:sz w:val="20"/>
                <w:szCs w:val="20"/>
              </w:rPr>
              <w:t xml:space="preserve">La ejecución en inversión tiene superávit de </w:t>
            </w:r>
            <w:r w:rsidR="0054126C">
              <w:rPr>
                <w:rFonts w:ascii="Verdana" w:hAnsi="Verdana"/>
                <w:sz w:val="20"/>
                <w:szCs w:val="20"/>
              </w:rPr>
              <w:t>744,2</w:t>
            </w:r>
            <w:r w:rsidRPr="009960C5">
              <w:rPr>
                <w:rFonts w:ascii="Verdana" w:hAnsi="Verdana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>debido a que el proceso con contratación de las adquisiciones de pólizas se adelantó así mismo se pago antes de lo planeado.</w:t>
            </w:r>
          </w:p>
          <w:p w14:paraId="1EF7D17F" w14:textId="77777777" w:rsidR="009960C5" w:rsidRPr="009960C5" w:rsidRDefault="009960C5" w:rsidP="009960C5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34503F99" w:rsidR="0004373C" w:rsidRPr="00991080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091DEB">
              <w:rPr>
                <w:rFonts w:ascii="Verdana" w:hAnsi="Verdana" w:cs="Arial"/>
                <w:sz w:val="20"/>
                <w:szCs w:val="20"/>
                <w:lang w:val="es-CO"/>
              </w:rPr>
              <w:t>74,24</w:t>
            </w: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091DEB">
              <w:rPr>
                <w:rFonts w:ascii="Verdana" w:hAnsi="Verdana" w:cs="Arial"/>
                <w:sz w:val="20"/>
                <w:szCs w:val="20"/>
                <w:lang w:val="es-CO"/>
              </w:rPr>
              <w:t>25,76</w:t>
            </w:r>
            <w:r w:rsidRPr="00991080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0B52">
              <w:rPr>
                <w:rFonts w:ascii="Verdana" w:hAnsi="Verdana" w:cs="Arial"/>
                <w:sz w:val="20"/>
                <w:szCs w:val="20"/>
              </w:rPr>
              <w:lastRenderedPageBreak/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669304C9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9A0B52">
              <w:rPr>
                <w:rFonts w:ascii="Verdana" w:hAnsi="Verdana" w:cs="Arial"/>
                <w:sz w:val="20"/>
                <w:szCs w:val="20"/>
              </w:rPr>
              <w:t>55,47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2AD829DD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9A0B52">
              <w:rPr>
                <w:rFonts w:ascii="Verdana" w:hAnsi="Verdana" w:cs="Arial"/>
                <w:sz w:val="20"/>
                <w:szCs w:val="20"/>
              </w:rPr>
              <w:t>17,24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15EAC606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9A0B52">
              <w:rPr>
                <w:rFonts w:ascii="Verdana" w:hAnsi="Verdana" w:cs="Arial"/>
                <w:sz w:val="20"/>
                <w:szCs w:val="20"/>
              </w:rPr>
              <w:t>27,29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9A0B52">
              <w:rPr>
                <w:rFonts w:ascii="Verdana" w:hAnsi="Verdana" w:cs="Arial"/>
                <w:sz w:val="20"/>
                <w:szCs w:val="20"/>
              </w:rPr>
              <w:t>27,17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9A0B52">
              <w:rPr>
                <w:rFonts w:ascii="Verdana" w:hAnsi="Verdana" w:cs="Arial"/>
                <w:sz w:val="20"/>
                <w:szCs w:val="20"/>
              </w:rPr>
              <w:t>12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4661FE05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385AE86C" w14:textId="77777777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40C5ED48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 xml:space="preserve">1) Administración de Recursos de Cooperación con el </w:t>
            </w:r>
            <w:r w:rsidR="009A0B52">
              <w:rPr>
                <w:rFonts w:ascii="Verdana" w:hAnsi="Verdana" w:cs="Arial"/>
                <w:sz w:val="20"/>
                <w:szCs w:val="20"/>
              </w:rPr>
              <w:t>98,24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 w:cs="Arial"/>
                <w:sz w:val="20"/>
                <w:szCs w:val="20"/>
              </w:rPr>
              <w:t>1.</w:t>
            </w:r>
            <w:r w:rsidR="009A0B52">
              <w:rPr>
                <w:rFonts w:ascii="Verdana" w:hAnsi="Verdana" w:cs="Arial"/>
                <w:sz w:val="20"/>
                <w:szCs w:val="20"/>
              </w:rPr>
              <w:t>301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9A0B52">
              <w:rPr>
                <w:rFonts w:ascii="Verdana" w:hAnsi="Verdana" w:cs="Arial"/>
                <w:sz w:val="20"/>
                <w:szCs w:val="20"/>
              </w:rPr>
              <w:t>2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7B9441B4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</w:t>
            </w:r>
            <w:r w:rsidR="00F66262">
              <w:rPr>
                <w:rFonts w:ascii="Verdana" w:hAnsi="Verdana" w:cs="Arial"/>
                <w:sz w:val="20"/>
                <w:szCs w:val="20"/>
              </w:rPr>
              <w:t>417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15930265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b)664,8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0DB10B12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c)</w:t>
            </w:r>
            <w:r w:rsidR="00F66262">
              <w:rPr>
                <w:rFonts w:ascii="Verdana" w:hAnsi="Verdana" w:cs="Arial"/>
                <w:sz w:val="20"/>
                <w:szCs w:val="20"/>
              </w:rPr>
              <w:t>29,9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321EEDCD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66262">
              <w:rPr>
                <w:rFonts w:ascii="Verdana" w:hAnsi="Verdana" w:cs="Arial"/>
                <w:sz w:val="20"/>
                <w:szCs w:val="20"/>
              </w:rPr>
              <w:t>88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779AE997" w14:textId="77777777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81301C1" w14:textId="0D4DAA86" w:rsidR="001F6498" w:rsidRPr="009B7746" w:rsidRDefault="00A30364" w:rsidP="00F66262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 w:rsidR="00F66262">
              <w:rPr>
                <w:rFonts w:ascii="Verdana" w:hAnsi="Verdana" w:cs="Arial"/>
                <w:sz w:val="20"/>
                <w:szCs w:val="20"/>
              </w:rPr>
              <w:t>1,76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F66262">
              <w:rPr>
                <w:rFonts w:ascii="Verdana" w:hAnsi="Verdana" w:cs="Arial"/>
                <w:sz w:val="20"/>
                <w:szCs w:val="20"/>
              </w:rPr>
              <w:t>23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3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dos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</w:t>
            </w:r>
            <w:bookmarkStart w:id="0" w:name="_GoBack"/>
            <w:bookmarkEnd w:id="0"/>
            <w:r w:rsidR="00991080">
              <w:rPr>
                <w:rFonts w:ascii="Verdana" w:hAnsi="Verdana" w:cs="Arial"/>
                <w:sz w:val="20"/>
                <w:szCs w:val="20"/>
              </w:rPr>
              <w:t>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D6E5D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6"/>
  </w:num>
  <w:num w:numId="5">
    <w:abstractNumId w:val="17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5"/>
  </w:num>
  <w:num w:numId="12">
    <w:abstractNumId w:val="21"/>
  </w:num>
  <w:num w:numId="13">
    <w:abstractNumId w:val="20"/>
  </w:num>
  <w:num w:numId="14">
    <w:abstractNumId w:val="3"/>
  </w:num>
  <w:num w:numId="15">
    <w:abstractNumId w:val="18"/>
  </w:num>
  <w:num w:numId="16">
    <w:abstractNumId w:val="5"/>
  </w:num>
  <w:num w:numId="17">
    <w:abstractNumId w:val="12"/>
  </w:num>
  <w:num w:numId="18">
    <w:abstractNumId w:val="0"/>
  </w:num>
  <w:num w:numId="19">
    <w:abstractNumId w:val="10"/>
  </w:num>
  <w:num w:numId="20">
    <w:abstractNumId w:val="22"/>
  </w:num>
  <w:num w:numId="21">
    <w:abstractNumId w:val="1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1DEB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5EC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E6E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1189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97D"/>
    <w:rsid w:val="00265A04"/>
    <w:rsid w:val="00265D9B"/>
    <w:rsid w:val="0027249A"/>
    <w:rsid w:val="00273008"/>
    <w:rsid w:val="00274952"/>
    <w:rsid w:val="00274FB5"/>
    <w:rsid w:val="00275339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1A02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1497"/>
    <w:rsid w:val="00342BC9"/>
    <w:rsid w:val="00344DCE"/>
    <w:rsid w:val="00347499"/>
    <w:rsid w:val="0034775A"/>
    <w:rsid w:val="00350551"/>
    <w:rsid w:val="00353B9A"/>
    <w:rsid w:val="00355DFC"/>
    <w:rsid w:val="003629E9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0BBE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26C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56B9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17AC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096C"/>
    <w:rsid w:val="007B19CC"/>
    <w:rsid w:val="007B2A21"/>
    <w:rsid w:val="007B376F"/>
    <w:rsid w:val="007B3FC8"/>
    <w:rsid w:val="007B4631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0B52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58F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DE7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1406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4DD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2BB"/>
    <w:rsid w:val="00F13BCC"/>
    <w:rsid w:val="00F13DEF"/>
    <w:rsid w:val="00F14E61"/>
    <w:rsid w:val="00F16153"/>
    <w:rsid w:val="00F16EBD"/>
    <w:rsid w:val="00F17535"/>
    <w:rsid w:val="00F20EFA"/>
    <w:rsid w:val="00F21F46"/>
    <w:rsid w:val="00F2219E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384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1580"/>
    <w:rsid w:val="00F62A5A"/>
    <w:rsid w:val="00F63B1A"/>
    <w:rsid w:val="00F652F6"/>
    <w:rsid w:val="00F65B30"/>
    <w:rsid w:val="00F66262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44FD9A-1BBF-49D8-A189-35170272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29</cp:revision>
  <cp:lastPrinted>2017-02-23T16:56:00Z</cp:lastPrinted>
  <dcterms:created xsi:type="dcterms:W3CDTF">2021-01-26T22:43:00Z</dcterms:created>
  <dcterms:modified xsi:type="dcterms:W3CDTF">2021-04-13T16:24:00Z</dcterms:modified>
</cp:coreProperties>
</file>