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6E5978DC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5E47D4">
        <w:rPr>
          <w:rFonts w:ascii="Verdana" w:hAnsi="Verdana"/>
          <w:b/>
          <w:sz w:val="22"/>
          <w:szCs w:val="20"/>
        </w:rPr>
        <w:t>31 de enero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5E47D4">
        <w:rPr>
          <w:rFonts w:ascii="Verdana" w:hAnsi="Verdana"/>
          <w:b/>
          <w:sz w:val="22"/>
          <w:szCs w:val="20"/>
        </w:rPr>
        <w:t>2021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41"/>
        <w:gridCol w:w="6037"/>
      </w:tblGrid>
      <w:tr w:rsidR="000023EC" w:rsidRPr="003C58A7" w14:paraId="2641BF55" w14:textId="77777777" w:rsidTr="00FC7A61">
        <w:tc>
          <w:tcPr>
            <w:tcW w:w="0" w:type="auto"/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0" w:type="auto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0023EC" w:rsidRPr="003C58A7" w14:paraId="7C3718D5" w14:textId="77777777" w:rsidTr="00FC7A61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14:paraId="4355EDF4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451800CE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132A">
              <w:rPr>
                <w:rFonts w:ascii="Verdana" w:hAnsi="Verdana"/>
                <w:sz w:val="20"/>
                <w:szCs w:val="20"/>
              </w:rPr>
              <w:t>2.219,5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132A">
              <w:rPr>
                <w:rFonts w:ascii="Verdana" w:hAnsi="Verdana"/>
                <w:sz w:val="20"/>
                <w:szCs w:val="20"/>
              </w:rPr>
              <w:t>104.452,5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CF1C86">
              <w:rPr>
                <w:rFonts w:ascii="Verdana" w:hAnsi="Verdana"/>
                <w:sz w:val="20"/>
                <w:szCs w:val="20"/>
              </w:rPr>
              <w:t>6</w:t>
            </w:r>
            <w:r w:rsidR="000213C5">
              <w:rPr>
                <w:rFonts w:ascii="Verdana" w:hAnsi="Verdana"/>
                <w:sz w:val="20"/>
                <w:szCs w:val="20"/>
              </w:rPr>
              <w:t>8</w:t>
            </w:r>
            <w:r w:rsidR="00CF1C86">
              <w:rPr>
                <w:rFonts w:ascii="Verdana" w:hAnsi="Verdana"/>
                <w:sz w:val="20"/>
                <w:szCs w:val="20"/>
              </w:rPr>
              <w:t>,</w:t>
            </w:r>
            <w:r w:rsidR="000213C5">
              <w:rPr>
                <w:rFonts w:ascii="Verdana" w:hAnsi="Verdana"/>
                <w:sz w:val="20"/>
                <w:szCs w:val="20"/>
              </w:rPr>
              <w:t>94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3C58A7" w:rsidRDefault="00A67EEC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3363DF" w14:textId="23427DA4" w:rsidR="00967413" w:rsidRPr="00967413" w:rsidRDefault="00967413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413">
              <w:rPr>
                <w:rFonts w:ascii="Verdana" w:hAnsi="Verdana"/>
                <w:sz w:val="20"/>
                <w:szCs w:val="20"/>
              </w:rPr>
              <w:t xml:space="preserve">Con corte al 31 de </w:t>
            </w:r>
            <w:r w:rsidR="005E47D4">
              <w:rPr>
                <w:rFonts w:ascii="Verdana" w:hAnsi="Verdana"/>
                <w:sz w:val="20"/>
                <w:szCs w:val="20"/>
              </w:rPr>
              <w:t>enero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 de 202</w:t>
            </w:r>
            <w:r w:rsidR="005E47D4">
              <w:rPr>
                <w:rFonts w:ascii="Verdana" w:hAnsi="Verdana"/>
                <w:sz w:val="20"/>
                <w:szCs w:val="20"/>
              </w:rPr>
              <w:t>1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3D132A">
              <w:rPr>
                <w:rFonts w:ascii="Verdana" w:hAnsi="Verdana"/>
                <w:sz w:val="20"/>
                <w:szCs w:val="20"/>
              </w:rPr>
              <w:t>2,12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5E47D4">
              <w:rPr>
                <w:rFonts w:ascii="Verdana" w:hAnsi="Verdana"/>
                <w:sz w:val="20"/>
                <w:szCs w:val="20"/>
              </w:rPr>
              <w:t>2.219,5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5E47D4">
              <w:rPr>
                <w:rFonts w:ascii="Verdana" w:hAnsi="Verdana"/>
                <w:sz w:val="20"/>
                <w:szCs w:val="20"/>
              </w:rPr>
              <w:t>1,97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%, con un </w:t>
            </w:r>
            <w:r w:rsidR="005E47D4">
              <w:rPr>
                <w:rFonts w:ascii="Verdana" w:hAnsi="Verdana"/>
                <w:sz w:val="20"/>
                <w:szCs w:val="20"/>
              </w:rPr>
              <w:t>superávit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5E47D4">
              <w:rPr>
                <w:rFonts w:ascii="Verdana" w:hAnsi="Verdana"/>
                <w:sz w:val="20"/>
                <w:szCs w:val="20"/>
              </w:rPr>
              <w:t>165</w:t>
            </w:r>
            <w:r w:rsidRPr="00967413">
              <w:rPr>
                <w:rFonts w:ascii="Verdana" w:hAnsi="Verdana"/>
                <w:sz w:val="20"/>
                <w:szCs w:val="20"/>
              </w:rPr>
              <w:t>, millones, el cual se explica de la siguiente manera:</w:t>
            </w:r>
          </w:p>
          <w:p w14:paraId="6A144967" w14:textId="77777777" w:rsidR="00D42DA8" w:rsidRPr="00BB1369" w:rsidRDefault="00D42DA8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FEF6BFC" w:rsidR="00CB005B" w:rsidRPr="00D42DA8" w:rsidRDefault="00A67EEC" w:rsidP="00D42DA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42DA8">
              <w:rPr>
                <w:rFonts w:ascii="Verdana" w:hAnsi="Verdana"/>
                <w:b/>
                <w:sz w:val="20"/>
                <w:szCs w:val="20"/>
                <w:u w:val="single"/>
              </w:rPr>
              <w:t>Gastos de funcionamiento:</w:t>
            </w:r>
          </w:p>
          <w:p w14:paraId="1D6251F8" w14:textId="77777777" w:rsidR="00D42DA8" w:rsidRPr="00D42DA8" w:rsidRDefault="00D42DA8" w:rsidP="00D42DA8">
            <w:pPr>
              <w:pStyle w:val="Prrafodelista"/>
              <w:ind w:left="43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3B31BE8" w14:textId="24146F53" w:rsidR="00CB005B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5E47D4">
              <w:rPr>
                <w:rFonts w:ascii="Verdana" w:hAnsi="Verdana"/>
                <w:iCs/>
                <w:sz w:val="20"/>
                <w:szCs w:val="20"/>
                <w:lang w:val="es-ES"/>
              </w:rPr>
              <w:t>10</w:t>
            </w:r>
            <w:r w:rsidR="00451DC9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,5 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>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CB005B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7D73C02C" w14:textId="51A12814" w:rsidR="0073047C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A67EEC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0A0797" w:rsidRPr="00EF2BB4">
              <w:rPr>
                <w:rFonts w:ascii="Verdana" w:hAnsi="Verdana" w:cs="Arial"/>
                <w:sz w:val="20"/>
                <w:szCs w:val="20"/>
              </w:rPr>
              <w:t>Déficit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en adquisición de bienes y servicios por </w:t>
            </w:r>
            <w:r w:rsidR="005E47D4">
              <w:rPr>
                <w:rFonts w:ascii="Verdana" w:hAnsi="Verdana" w:cs="Arial"/>
                <w:sz w:val="20"/>
                <w:szCs w:val="20"/>
              </w:rPr>
              <w:t>0</w:t>
            </w:r>
            <w:r w:rsidR="00021462">
              <w:rPr>
                <w:rFonts w:ascii="Verdana" w:hAnsi="Verdana" w:cs="Arial"/>
                <w:sz w:val="20"/>
                <w:szCs w:val="20"/>
              </w:rPr>
              <w:t>,</w:t>
            </w:r>
            <w:r w:rsidR="005E47D4">
              <w:rPr>
                <w:rFonts w:ascii="Verdana" w:hAnsi="Verdana" w:cs="Arial"/>
                <w:sz w:val="20"/>
                <w:szCs w:val="20"/>
              </w:rPr>
              <w:t>5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E47D4">
              <w:rPr>
                <w:rFonts w:ascii="Verdana" w:hAnsi="Verdana" w:cs="Arial"/>
                <w:sz w:val="20"/>
                <w:szCs w:val="20"/>
              </w:rPr>
              <w:t>mil pesos</w:t>
            </w:r>
            <w:r w:rsidRPr="00EF2BB4">
              <w:rPr>
                <w:rFonts w:ascii="Verdana" w:hAnsi="Verdana" w:cs="Arial"/>
                <w:sz w:val="20"/>
                <w:szCs w:val="20"/>
              </w:rPr>
              <w:t>,</w:t>
            </w:r>
            <w:r w:rsidR="00956B77" w:rsidRPr="00EF2BB4">
              <w:rPr>
                <w:rFonts w:ascii="Verdana" w:hAnsi="Verdana" w:cs="Arial"/>
                <w:sz w:val="20"/>
                <w:szCs w:val="20"/>
              </w:rPr>
              <w:t xml:space="preserve"> debido a</w:t>
            </w:r>
            <w:r w:rsidR="005E47D4">
              <w:rPr>
                <w:rFonts w:ascii="Verdana" w:hAnsi="Verdana" w:cs="Arial"/>
                <w:sz w:val="20"/>
                <w:szCs w:val="20"/>
              </w:rPr>
              <w:t>l que el personal de APC no se encuentra en su totalidad en las oficinas de la agencia esto varia el consumo de las facturas de servicios públicos.</w:t>
            </w:r>
          </w:p>
          <w:p w14:paraId="36C27484" w14:textId="153FBFD2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i) </w:t>
            </w:r>
            <w:r w:rsidR="005E47D4">
              <w:rPr>
                <w:rFonts w:ascii="Verdana" w:hAnsi="Verdana" w:cs="Arial"/>
                <w:sz w:val="20"/>
                <w:szCs w:val="20"/>
              </w:rPr>
              <w:t>se cumplió la meta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E47D4">
              <w:rPr>
                <w:rFonts w:ascii="Verdana" w:hAnsi="Verdana" w:cs="Arial"/>
                <w:sz w:val="20"/>
                <w:szCs w:val="20"/>
              </w:rPr>
              <w:t xml:space="preserve">por valor de </w:t>
            </w:r>
            <w:r w:rsidR="005E47D4" w:rsidRPr="0049603A">
              <w:rPr>
                <w:rFonts w:ascii="Verdana" w:hAnsi="Verdana" w:cs="Arial"/>
                <w:sz w:val="20"/>
                <w:szCs w:val="20"/>
              </w:rPr>
              <w:t>84</w:t>
            </w:r>
            <w:r w:rsidR="005E47D4">
              <w:rPr>
                <w:rFonts w:ascii="Verdana" w:hAnsi="Verdana" w:cs="Arial"/>
                <w:sz w:val="20"/>
                <w:szCs w:val="20"/>
              </w:rPr>
              <w:t>,8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</w:t>
            </w:r>
            <w:r w:rsidR="002209E6">
              <w:rPr>
                <w:rFonts w:ascii="Verdana" w:hAnsi="Verdana" w:cs="Arial"/>
                <w:sz w:val="20"/>
                <w:szCs w:val="20"/>
              </w:rPr>
              <w:t>FOCAI.</w:t>
            </w:r>
            <w:r w:rsidR="001E11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F2219E">
              <w:rPr>
                <w:rFonts w:ascii="Verdana" w:hAnsi="Verdana" w:cs="Arial"/>
                <w:sz w:val="20"/>
                <w:szCs w:val="20"/>
              </w:rPr>
              <w:t>déficit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E47D4">
              <w:rPr>
                <w:rFonts w:ascii="Verdana" w:hAnsi="Verdana" w:cs="Arial"/>
                <w:sz w:val="20"/>
                <w:szCs w:val="20"/>
              </w:rPr>
              <w:t xml:space="preserve">1 </w:t>
            </w:r>
            <w:r w:rsidR="002209E6">
              <w:rPr>
                <w:rFonts w:ascii="Verdana" w:hAnsi="Verdana" w:cs="Arial"/>
                <w:sz w:val="20"/>
                <w:szCs w:val="20"/>
              </w:rPr>
              <w:t>millón</w:t>
            </w:r>
            <w:r w:rsidR="005E47D4">
              <w:rPr>
                <w:rFonts w:ascii="Verdana" w:hAnsi="Verdana" w:cs="Arial"/>
                <w:sz w:val="20"/>
                <w:szCs w:val="20"/>
              </w:rPr>
              <w:t xml:space="preserve"> de pesos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9F1017" w14:textId="1553F8C9" w:rsidR="00E457C4" w:rsidRDefault="00A67EEC" w:rsidP="00F106E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95055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Pr="0049505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1B66" w:rsidRPr="00495055">
              <w:rPr>
                <w:rFonts w:ascii="Verdana" w:hAnsi="Verdana"/>
                <w:sz w:val="20"/>
                <w:szCs w:val="20"/>
              </w:rPr>
              <w:t xml:space="preserve">La ejecución en inversión tiene </w:t>
            </w:r>
            <w:r w:rsidR="00495055" w:rsidRPr="00495055">
              <w:rPr>
                <w:rFonts w:ascii="Verdana" w:hAnsi="Verdana"/>
                <w:sz w:val="20"/>
                <w:szCs w:val="20"/>
              </w:rPr>
              <w:t>superávit</w:t>
            </w:r>
            <w:r w:rsidR="00BD1B66" w:rsidRPr="00495055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495055" w:rsidRPr="00495055">
              <w:rPr>
                <w:rFonts w:ascii="Verdana" w:hAnsi="Verdana"/>
                <w:sz w:val="20"/>
                <w:szCs w:val="20"/>
              </w:rPr>
              <w:t>156</w:t>
            </w:r>
            <w:r w:rsidR="001E1189" w:rsidRPr="00495055">
              <w:rPr>
                <w:rFonts w:ascii="Verdana" w:hAnsi="Verdana"/>
                <w:sz w:val="20"/>
                <w:szCs w:val="20"/>
              </w:rPr>
              <w:t>,</w:t>
            </w:r>
            <w:r w:rsidR="00495055" w:rsidRPr="00495055">
              <w:rPr>
                <w:rFonts w:ascii="Verdana" w:hAnsi="Verdana"/>
                <w:sz w:val="20"/>
                <w:szCs w:val="20"/>
              </w:rPr>
              <w:t>6</w:t>
            </w:r>
            <w:r w:rsidR="00BD1B66" w:rsidRPr="00495055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495055">
              <w:rPr>
                <w:rFonts w:ascii="Verdana" w:hAnsi="Verdana"/>
                <w:sz w:val="20"/>
                <w:szCs w:val="20"/>
              </w:rPr>
              <w:t>que se comprometieron contratos por el rubro de Administración de recursos</w:t>
            </w:r>
            <w:r w:rsidR="003D132A">
              <w:rPr>
                <w:rFonts w:ascii="Verdana" w:hAnsi="Verdana"/>
                <w:sz w:val="20"/>
                <w:szCs w:val="20"/>
              </w:rPr>
              <w:t xml:space="preserve"> por los proyectos del BCIE se adelantaron las adiciones de algunas contrataciones que se tenían previstas para les mes de febrero.</w:t>
            </w:r>
          </w:p>
          <w:p w14:paraId="517BEF71" w14:textId="77777777" w:rsidR="003D132A" w:rsidRPr="00495055" w:rsidRDefault="003D132A" w:rsidP="003D132A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5224108C" w:rsidR="00464CE7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536BA">
              <w:rPr>
                <w:rFonts w:ascii="Verdana" w:hAnsi="Verdana"/>
                <w:sz w:val="20"/>
              </w:rPr>
              <w:t xml:space="preserve">El </w:t>
            </w:r>
            <w:r w:rsidR="003D132A">
              <w:rPr>
                <w:rFonts w:ascii="Verdana" w:hAnsi="Verdana"/>
                <w:sz w:val="20"/>
              </w:rPr>
              <w:t>87,96</w:t>
            </w:r>
            <w:r w:rsidRPr="004536BA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3D132A">
              <w:rPr>
                <w:rFonts w:ascii="Verdana" w:hAnsi="Verdana"/>
                <w:sz w:val="20"/>
              </w:rPr>
              <w:t>12,04</w:t>
            </w:r>
            <w:r w:rsidRPr="004536BA">
              <w:rPr>
                <w:rFonts w:ascii="Verdana" w:hAnsi="Verdana"/>
                <w:sz w:val="20"/>
              </w:rPr>
              <w:t>% a los gastos de inversión.</w:t>
            </w:r>
          </w:p>
          <w:p w14:paraId="2B8AE5A6" w14:textId="77777777" w:rsidR="00E279ED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8DA10" w14:textId="77777777" w:rsidR="00A67EEC" w:rsidRPr="00181E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1E6C">
              <w:rPr>
                <w:rFonts w:ascii="Verdana" w:hAnsi="Verdana"/>
                <w:sz w:val="20"/>
                <w:szCs w:val="20"/>
              </w:rPr>
              <w:lastRenderedPageBreak/>
              <w:t xml:space="preserve">La ejecución de los gastos de funcionamiento estuvo distribuida de la siguiente manera: </w:t>
            </w:r>
          </w:p>
          <w:p w14:paraId="24F2599A" w14:textId="77777777" w:rsidR="00A67EEC" w:rsidRPr="0053199E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0642EDC" w14:textId="08B42818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B468A1">
              <w:rPr>
                <w:rFonts w:ascii="Verdana" w:hAnsi="Verdana" w:cs="Arial"/>
                <w:sz w:val="20"/>
                <w:szCs w:val="20"/>
              </w:rPr>
              <w:t>34,</w:t>
            </w:r>
            <w:r w:rsidR="003D132A">
              <w:rPr>
                <w:rFonts w:ascii="Verdana" w:hAnsi="Verdana" w:cs="Arial"/>
                <w:sz w:val="20"/>
                <w:szCs w:val="20"/>
              </w:rPr>
              <w:t>8</w:t>
            </w:r>
            <w:r w:rsidR="00B468A1">
              <w:rPr>
                <w:rFonts w:ascii="Verdana" w:hAnsi="Verdana" w:cs="Arial"/>
                <w:sz w:val="20"/>
                <w:szCs w:val="20"/>
              </w:rPr>
              <w:t>7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7B6B6639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3D132A">
              <w:rPr>
                <w:rFonts w:ascii="Verdana" w:hAnsi="Verdana" w:cs="Arial"/>
                <w:sz w:val="20"/>
                <w:szCs w:val="20"/>
              </w:rPr>
              <w:t>60,64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79B8D72C" w:rsidR="00A2238C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 Los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 w:rsidR="003D132A">
              <w:rPr>
                <w:rFonts w:ascii="Verdana" w:hAnsi="Verdana" w:cs="Arial"/>
                <w:sz w:val="20"/>
                <w:szCs w:val="20"/>
              </w:rPr>
              <w:t>4,49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3D132A">
              <w:rPr>
                <w:rFonts w:ascii="Verdana" w:hAnsi="Verdana" w:cs="Arial"/>
                <w:sz w:val="20"/>
                <w:szCs w:val="20"/>
              </w:rPr>
              <w:t>4,34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B468A1">
              <w:rPr>
                <w:rFonts w:ascii="Verdana" w:hAnsi="Verdana" w:cs="Arial"/>
                <w:sz w:val="20"/>
                <w:szCs w:val="20"/>
              </w:rPr>
              <w:t>1</w:t>
            </w:r>
            <w:r w:rsidR="003D132A">
              <w:rPr>
                <w:rFonts w:ascii="Verdana" w:hAnsi="Verdana" w:cs="Arial"/>
                <w:sz w:val="20"/>
                <w:szCs w:val="20"/>
              </w:rPr>
              <w:t>5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36AF49FA" w14:textId="53EBE836" w:rsidR="0012189C" w:rsidRPr="000139BE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Los gastos </w:t>
            </w:r>
            <w:r w:rsidRPr="0012189C">
              <w:rPr>
                <w:rFonts w:ascii="Verdana" w:hAnsi="Verdana" w:cs="Arial"/>
                <w:sz w:val="20"/>
                <w:szCs w:val="20"/>
              </w:rPr>
              <w:t>por 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presentan el 0,</w:t>
            </w:r>
            <w:r w:rsidR="003D132A">
              <w:rPr>
                <w:rFonts w:ascii="Verdana" w:hAnsi="Verdana" w:cs="Arial"/>
                <w:sz w:val="20"/>
                <w:szCs w:val="20"/>
              </w:rPr>
              <w:t>00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7DB5D2CF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7ABAB455" w14:textId="55A61175" w:rsidR="00E167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>La ejecución de los gastos de inversión estuvo distribuida así:</w:t>
            </w:r>
          </w:p>
          <w:p w14:paraId="1FFA5BB9" w14:textId="39458775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29D8832" w14:textId="0E8B8A86" w:rsidR="00A67EEC" w:rsidRPr="00B176DD" w:rsidRDefault="0022235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) Administración de Recursos de Cooperación con el </w:t>
            </w:r>
            <w:r w:rsidR="002D7072">
              <w:rPr>
                <w:rFonts w:ascii="Verdana" w:hAnsi="Verdana"/>
                <w:sz w:val="20"/>
                <w:szCs w:val="20"/>
              </w:rPr>
              <w:t>78,44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4201F5">
              <w:rPr>
                <w:rFonts w:ascii="Verdana" w:hAnsi="Verdana"/>
                <w:sz w:val="20"/>
                <w:szCs w:val="20"/>
              </w:rPr>
              <w:t>209,6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226A621" w14:textId="70AA1E9C" w:rsidR="00A2238C" w:rsidRDefault="004201F5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21,0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EA37E9" w:rsidRPr="00EA37E9">
              <w:rPr>
                <w:rFonts w:ascii="Verdana" w:hAnsi="Verdana"/>
                <w:sz w:val="20"/>
                <w:szCs w:val="20"/>
              </w:rPr>
              <w:t>”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 xml:space="preserve"> Estrategia regional de emprendimiento” financiado con recursos donados por la Unión Europea.</w:t>
            </w:r>
          </w:p>
          <w:p w14:paraId="5D644E77" w14:textId="3BE234A9" w:rsidR="00E75D5F" w:rsidRDefault="004201F5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188,5</w:t>
            </w:r>
            <w:r w:rsidR="00E75D5F">
              <w:rPr>
                <w:rFonts w:ascii="Verdana" w:hAnsi="Verdana"/>
                <w:sz w:val="20"/>
                <w:szCs w:val="20"/>
              </w:rPr>
              <w:t xml:space="preserve"> millones por cuenta del proyecto de BCIE.</w:t>
            </w:r>
          </w:p>
          <w:p w14:paraId="5FC021EB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70932A3" w14:textId="1578BEEF" w:rsidR="00F57B74" w:rsidRPr="003C58A7" w:rsidRDefault="004201F5" w:rsidP="002D707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62003">
              <w:rPr>
                <w:rFonts w:ascii="Verdana" w:hAnsi="Verdana"/>
                <w:sz w:val="20"/>
                <w:szCs w:val="20"/>
              </w:rPr>
              <w:t>)</w:t>
            </w:r>
            <w:r w:rsidR="00C62003"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="00C62003"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2D7072">
              <w:rPr>
                <w:rFonts w:ascii="Verdana" w:hAnsi="Verdana"/>
                <w:sz w:val="20"/>
                <w:szCs w:val="20"/>
              </w:rPr>
              <w:t>21,56</w:t>
            </w:r>
            <w:bookmarkStart w:id="0" w:name="_GoBack"/>
            <w:bookmarkEnd w:id="0"/>
            <w:r w:rsidR="003B4098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>
              <w:rPr>
                <w:rFonts w:ascii="Verdana" w:hAnsi="Verdana"/>
                <w:sz w:val="20"/>
                <w:szCs w:val="20"/>
              </w:rPr>
              <w:t>57,6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>
              <w:rPr>
                <w:rFonts w:ascii="Verdana" w:hAnsi="Verdana"/>
                <w:sz w:val="20"/>
                <w:szCs w:val="20"/>
              </w:rPr>
              <w:t>un profesional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la gestión del </w:t>
            </w:r>
            <w:r>
              <w:rPr>
                <w:rFonts w:ascii="Verdana" w:hAnsi="Verdana"/>
                <w:sz w:val="20"/>
                <w:szCs w:val="20"/>
              </w:rPr>
              <w:t>proyecto</w:t>
            </w:r>
            <w:r w:rsidR="00B468A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5D783D4D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5462">
              <w:rPr>
                <w:rFonts w:ascii="Verdana" w:hAnsi="Verdana"/>
                <w:sz w:val="20"/>
                <w:szCs w:val="20"/>
              </w:rPr>
              <w:t>901,4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3D132A">
              <w:rPr>
                <w:rFonts w:ascii="Verdana" w:hAnsi="Verdana"/>
                <w:sz w:val="20"/>
                <w:szCs w:val="20"/>
              </w:rPr>
              <w:t>104.452,5</w:t>
            </w:r>
            <w:r w:rsidR="003D132A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385057">
              <w:rPr>
                <w:rFonts w:ascii="Verdana" w:hAnsi="Verdana"/>
                <w:sz w:val="20"/>
                <w:szCs w:val="20"/>
              </w:rPr>
              <w:t>0,8</w:t>
            </w:r>
            <w:r w:rsidR="00C55462">
              <w:rPr>
                <w:rFonts w:ascii="Verdana" w:hAnsi="Verdana"/>
                <w:sz w:val="20"/>
                <w:szCs w:val="20"/>
              </w:rPr>
              <w:t>6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1EF40424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>Con corte al</w:t>
            </w:r>
            <w:r w:rsidR="003110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6DAD">
              <w:rPr>
                <w:rFonts w:ascii="Verdana" w:hAnsi="Verdana"/>
                <w:sz w:val="20"/>
                <w:szCs w:val="20"/>
              </w:rPr>
              <w:t>31</w:t>
            </w:r>
            <w:r w:rsidR="003110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85057">
              <w:rPr>
                <w:rFonts w:ascii="Verdana" w:hAnsi="Verdana"/>
                <w:sz w:val="20"/>
                <w:szCs w:val="20"/>
              </w:rPr>
              <w:t>de enero</w:t>
            </w:r>
            <w:r w:rsidR="00D03009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C55462">
              <w:rPr>
                <w:rFonts w:ascii="Verdana" w:hAnsi="Verdana"/>
                <w:sz w:val="20"/>
                <w:szCs w:val="20"/>
              </w:rPr>
              <w:t>21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385057">
              <w:rPr>
                <w:rFonts w:ascii="Verdana" w:hAnsi="Verdana"/>
                <w:sz w:val="20"/>
                <w:szCs w:val="20"/>
              </w:rPr>
              <w:t>0,8</w:t>
            </w:r>
            <w:r w:rsidR="00C55462">
              <w:rPr>
                <w:rFonts w:ascii="Verdana" w:hAnsi="Verdana"/>
                <w:sz w:val="20"/>
                <w:szCs w:val="20"/>
              </w:rPr>
              <w:t>6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C55462">
              <w:rPr>
                <w:rFonts w:ascii="Verdana" w:hAnsi="Verdana"/>
                <w:sz w:val="20"/>
                <w:szCs w:val="20"/>
              </w:rPr>
              <w:t>901,4</w:t>
            </w:r>
            <w:r w:rsidR="006A6DAD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millones, frente a una meta del </w:t>
            </w:r>
            <w:r w:rsidR="00C55462">
              <w:rPr>
                <w:rFonts w:ascii="Verdana" w:hAnsi="Verdana"/>
                <w:sz w:val="20"/>
                <w:szCs w:val="20"/>
              </w:rPr>
              <w:t>0,67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C55462">
              <w:rPr>
                <w:rFonts w:ascii="Verdana" w:hAnsi="Verdana"/>
                <w:sz w:val="20"/>
                <w:szCs w:val="20"/>
              </w:rPr>
              <w:t>superávit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4F111B">
              <w:rPr>
                <w:rFonts w:ascii="Verdana" w:hAnsi="Verdana"/>
                <w:sz w:val="20"/>
                <w:szCs w:val="20"/>
              </w:rPr>
              <w:t>201</w:t>
            </w:r>
            <w:r w:rsidR="00C55462">
              <w:rPr>
                <w:rFonts w:ascii="Verdana" w:hAnsi="Verdana"/>
                <w:sz w:val="20"/>
                <w:szCs w:val="20"/>
              </w:rPr>
              <w:t>,</w:t>
            </w:r>
            <w:r w:rsidR="004F111B">
              <w:rPr>
                <w:rFonts w:ascii="Verdana" w:hAnsi="Verdana"/>
                <w:sz w:val="20"/>
                <w:szCs w:val="20"/>
              </w:rPr>
              <w:t>4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AD92DF" w14:textId="77777777" w:rsidR="004B35F0" w:rsidRDefault="004B35F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8AEBEC" w14:textId="41FB1055" w:rsidR="00CB005B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16EE">
              <w:rPr>
                <w:rFonts w:ascii="Verdana" w:hAnsi="Verdana"/>
                <w:b/>
                <w:sz w:val="20"/>
                <w:szCs w:val="20"/>
              </w:rPr>
              <w:t>A) Gastos de funcionamiento:</w:t>
            </w:r>
          </w:p>
          <w:p w14:paraId="57AE5F99" w14:textId="77777777" w:rsidR="004B35F0" w:rsidRDefault="004B35F0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1898CD5" w14:textId="6D5ABE57" w:rsidR="00CB005B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="001159B7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4F111B">
              <w:rPr>
                <w:rFonts w:ascii="Verdana" w:hAnsi="Verdana"/>
                <w:iCs/>
                <w:sz w:val="20"/>
                <w:szCs w:val="20"/>
                <w:lang w:val="es-ES"/>
              </w:rPr>
              <w:t>10,5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 </w:t>
            </w:r>
            <w:r w:rsidR="009D2EA6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</w:p>
          <w:p w14:paraId="34C3BEB4" w14:textId="218AF0EA" w:rsidR="00EE3850" w:rsidRDefault="007B096C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>2)</w:t>
            </w:r>
            <w:r w:rsidR="004F111B">
              <w:rPr>
                <w:rFonts w:ascii="Verdana" w:hAnsi="Verdana" w:cs="Arial"/>
                <w:sz w:val="20"/>
                <w:szCs w:val="20"/>
                <w:lang w:val="es-CO"/>
              </w:rPr>
              <w:t>Superávit</w:t>
            </w:r>
            <w:r w:rsidR="0068199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en la ejecución de adquisición de bienes y servicios por </w:t>
            </w:r>
            <w:r w:rsidR="004F111B">
              <w:rPr>
                <w:rFonts w:ascii="Verdana" w:hAnsi="Verdana" w:cs="Arial"/>
                <w:sz w:val="20"/>
                <w:szCs w:val="20"/>
                <w:lang w:val="es-CO"/>
              </w:rPr>
              <w:t>191,8</w:t>
            </w:r>
            <w:r w:rsidR="0068199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B65818" w:rsidRPr="000135D9">
              <w:rPr>
                <w:rFonts w:ascii="Verdana" w:hAnsi="Verdana" w:cs="Arial"/>
                <w:sz w:val="20"/>
                <w:szCs w:val="20"/>
                <w:lang w:val="es-CO"/>
              </w:rPr>
              <w:t>debido</w:t>
            </w:r>
            <w:r w:rsidR="00D425DE">
              <w:rPr>
                <w:rFonts w:ascii="Verdana" w:hAnsi="Verdana" w:cs="Arial"/>
                <w:sz w:val="20"/>
                <w:szCs w:val="20"/>
                <w:lang w:val="es-CO"/>
              </w:rPr>
              <w:t xml:space="preserve"> al pago de la factura de arriendo anticipadamente.</w:t>
            </w:r>
          </w:p>
          <w:p w14:paraId="25F18782" w14:textId="7C9F5641" w:rsidR="00CB005B" w:rsidRDefault="00637AE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>3) S</w:t>
            </w:r>
            <w:r>
              <w:rPr>
                <w:rFonts w:ascii="Verdana" w:hAnsi="Verdana" w:cs="Arial"/>
                <w:sz w:val="20"/>
                <w:szCs w:val="20"/>
              </w:rPr>
              <w:t>e presentó déficit de 1 millón de pesos del rubro de incapacidades y licencias de maternidad, debido a que este rubro es variable</w:t>
            </w:r>
            <w:r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7BCE74A" w14:textId="77777777" w:rsidR="00BF7C6F" w:rsidRDefault="00BF7C6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CC4B593" w14:textId="22F37C8D" w:rsidR="0068498A" w:rsidRDefault="0081521A" w:rsidP="006849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750DC" w:rsidRPr="00182BFD">
              <w:rPr>
                <w:rFonts w:ascii="Verdana" w:hAnsi="Verdana"/>
                <w:b/>
                <w:sz w:val="20"/>
                <w:szCs w:val="20"/>
              </w:rPr>
              <w:t>B) Gastos de inversión:</w:t>
            </w:r>
            <w:r w:rsidR="008E21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37AEF">
              <w:rPr>
                <w:rFonts w:ascii="Verdana" w:hAnsi="Verdana" w:cs="Arial"/>
                <w:sz w:val="20"/>
                <w:szCs w:val="20"/>
                <w:lang w:val="es-CO"/>
              </w:rPr>
              <w:t>No se programó ningún para para el mes de enero.</w:t>
            </w:r>
          </w:p>
          <w:p w14:paraId="0B4CE376" w14:textId="77777777" w:rsidR="0068498A" w:rsidRDefault="0068498A" w:rsidP="0068498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6F9885" w14:textId="24B38E63" w:rsidR="0004373C" w:rsidRPr="007C68D7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13924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637AEF">
              <w:rPr>
                <w:rFonts w:ascii="Verdana" w:hAnsi="Verdana" w:cs="Arial"/>
                <w:sz w:val="20"/>
                <w:szCs w:val="20"/>
                <w:lang w:val="es-CO"/>
              </w:rPr>
              <w:t>100</w:t>
            </w:r>
            <w:r w:rsidRPr="00A13924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637AEF">
              <w:rPr>
                <w:rFonts w:ascii="Verdana" w:hAnsi="Verdana" w:cs="Arial"/>
                <w:sz w:val="20"/>
                <w:szCs w:val="20"/>
                <w:lang w:val="es-CO"/>
              </w:rPr>
              <w:t>0</w:t>
            </w:r>
            <w:r w:rsidRPr="00A13924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E279ED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683B">
              <w:rPr>
                <w:rFonts w:ascii="Verdana" w:hAnsi="Verdana" w:cs="Arial"/>
                <w:sz w:val="20"/>
                <w:szCs w:val="20"/>
              </w:rPr>
              <w:t>La ejecución de obligaciones 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7EA3950B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637AEF">
              <w:rPr>
                <w:rFonts w:ascii="Verdana" w:hAnsi="Verdana" w:cs="Arial"/>
                <w:sz w:val="20"/>
                <w:szCs w:val="20"/>
              </w:rPr>
              <w:t>75,53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0D3845B" w14:textId="6A5D590D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lastRenderedPageBreak/>
              <w:t xml:space="preserve">2) Gastos por adquisición de bienes y servicios con el </w:t>
            </w:r>
            <w:r w:rsidR="00637AEF">
              <w:rPr>
                <w:rFonts w:ascii="Verdana" w:hAnsi="Verdana" w:cs="Arial"/>
                <w:sz w:val="20"/>
                <w:szCs w:val="20"/>
              </w:rPr>
              <w:t>24,15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7EBC2FD2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637AEF">
              <w:rPr>
                <w:rFonts w:ascii="Verdana" w:hAnsi="Verdana" w:cs="Arial"/>
                <w:sz w:val="20"/>
                <w:szCs w:val="20"/>
              </w:rPr>
              <w:t>0,31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637AEF">
              <w:rPr>
                <w:rFonts w:ascii="Verdana" w:hAnsi="Verdana" w:cs="Arial"/>
                <w:sz w:val="20"/>
                <w:szCs w:val="20"/>
              </w:rPr>
              <w:t>0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637AEF">
              <w:rPr>
                <w:rFonts w:ascii="Verdana" w:hAnsi="Verdana" w:cs="Arial"/>
                <w:sz w:val="20"/>
                <w:szCs w:val="20"/>
              </w:rPr>
              <w:t>31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4FC90285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 w:rsidR="00637AEF">
              <w:rPr>
                <w:rFonts w:ascii="Verdana" w:hAnsi="Verdana" w:cs="Arial"/>
                <w:sz w:val="20"/>
                <w:szCs w:val="20"/>
              </w:rPr>
              <w:t xml:space="preserve"> con el 0 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9D74D6A" w14:textId="209F743D" w:rsidR="00A67EEC" w:rsidRPr="006D212E" w:rsidRDefault="008E21DE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48000BE" w14:textId="15E805B0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5FDCBEE" w14:textId="77777777" w:rsidR="00585E78" w:rsidRPr="00FA5311" w:rsidRDefault="00585E78" w:rsidP="00FA531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6E95819" w14:textId="53787B75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81301C1" w14:textId="6D72823A" w:rsidR="001F6498" w:rsidRPr="009B7746" w:rsidRDefault="001F6498" w:rsidP="003629E9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</w:tbl>
    <w:p w14:paraId="68C0ADC5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638B"/>
    <w:multiLevelType w:val="hybridMultilevel"/>
    <w:tmpl w:val="BD7A78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53EE6"/>
    <w:multiLevelType w:val="hybridMultilevel"/>
    <w:tmpl w:val="5F5EFB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D6E5D"/>
    <w:multiLevelType w:val="hybridMultilevel"/>
    <w:tmpl w:val="15A00C2A"/>
    <w:lvl w:ilvl="0" w:tplc="74A8D8B4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5"/>
  </w:num>
  <w:num w:numId="5">
    <w:abstractNumId w:val="16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4"/>
  </w:num>
  <w:num w:numId="12">
    <w:abstractNumId w:val="20"/>
  </w:num>
  <w:num w:numId="13">
    <w:abstractNumId w:val="19"/>
  </w:num>
  <w:num w:numId="14">
    <w:abstractNumId w:val="3"/>
  </w:num>
  <w:num w:numId="15">
    <w:abstractNumId w:val="17"/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  <w:num w:numId="20">
    <w:abstractNumId w:val="21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35D9"/>
    <w:rsid w:val="000145BA"/>
    <w:rsid w:val="000213C5"/>
    <w:rsid w:val="00021462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AB3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1634"/>
    <w:rsid w:val="00091CF9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1DFF"/>
    <w:rsid w:val="00172997"/>
    <w:rsid w:val="00172CB9"/>
    <w:rsid w:val="001738E7"/>
    <w:rsid w:val="00176925"/>
    <w:rsid w:val="00177162"/>
    <w:rsid w:val="00181E6C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1189"/>
    <w:rsid w:val="001E22C0"/>
    <w:rsid w:val="001E2EA5"/>
    <w:rsid w:val="001E4610"/>
    <w:rsid w:val="001E4FA5"/>
    <w:rsid w:val="001E5A6C"/>
    <w:rsid w:val="001E6568"/>
    <w:rsid w:val="001E6F30"/>
    <w:rsid w:val="001E7DFA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9E6"/>
    <w:rsid w:val="00220BAC"/>
    <w:rsid w:val="00222350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DF6"/>
    <w:rsid w:val="00244E97"/>
    <w:rsid w:val="002457D5"/>
    <w:rsid w:val="00245D35"/>
    <w:rsid w:val="00246011"/>
    <w:rsid w:val="00246760"/>
    <w:rsid w:val="00247819"/>
    <w:rsid w:val="0025037B"/>
    <w:rsid w:val="00250DE8"/>
    <w:rsid w:val="00251D5A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249A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023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4564"/>
    <w:rsid w:val="002D4C07"/>
    <w:rsid w:val="002D5316"/>
    <w:rsid w:val="002D5AE0"/>
    <w:rsid w:val="002D6765"/>
    <w:rsid w:val="002D6DF6"/>
    <w:rsid w:val="002D7072"/>
    <w:rsid w:val="002E19CE"/>
    <w:rsid w:val="002E29EF"/>
    <w:rsid w:val="002F06C2"/>
    <w:rsid w:val="002F433E"/>
    <w:rsid w:val="002F4FDB"/>
    <w:rsid w:val="002F531E"/>
    <w:rsid w:val="002F77CB"/>
    <w:rsid w:val="00302CBA"/>
    <w:rsid w:val="0030355A"/>
    <w:rsid w:val="003074AA"/>
    <w:rsid w:val="003110C1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41497"/>
    <w:rsid w:val="00342BC9"/>
    <w:rsid w:val="00344DCE"/>
    <w:rsid w:val="00347499"/>
    <w:rsid w:val="0034775A"/>
    <w:rsid w:val="00350551"/>
    <w:rsid w:val="00353B9A"/>
    <w:rsid w:val="00355DFC"/>
    <w:rsid w:val="003629E9"/>
    <w:rsid w:val="00363008"/>
    <w:rsid w:val="00363BED"/>
    <w:rsid w:val="003656E7"/>
    <w:rsid w:val="00365E78"/>
    <w:rsid w:val="0036641A"/>
    <w:rsid w:val="0037032C"/>
    <w:rsid w:val="003725D8"/>
    <w:rsid w:val="00374439"/>
    <w:rsid w:val="003754DB"/>
    <w:rsid w:val="00375F1F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5057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0F2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132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4E97"/>
    <w:rsid w:val="00411873"/>
    <w:rsid w:val="00412D82"/>
    <w:rsid w:val="00413E0C"/>
    <w:rsid w:val="00415A61"/>
    <w:rsid w:val="004162C2"/>
    <w:rsid w:val="004201F5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1DC9"/>
    <w:rsid w:val="004536BA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88E"/>
    <w:rsid w:val="00491D45"/>
    <w:rsid w:val="00493ADA"/>
    <w:rsid w:val="004946BE"/>
    <w:rsid w:val="00494F72"/>
    <w:rsid w:val="00495055"/>
    <w:rsid w:val="004952EB"/>
    <w:rsid w:val="00496035"/>
    <w:rsid w:val="00496162"/>
    <w:rsid w:val="004969E0"/>
    <w:rsid w:val="004A125D"/>
    <w:rsid w:val="004A21C2"/>
    <w:rsid w:val="004A25FD"/>
    <w:rsid w:val="004A313B"/>
    <w:rsid w:val="004A5F54"/>
    <w:rsid w:val="004A6740"/>
    <w:rsid w:val="004A6809"/>
    <w:rsid w:val="004A6F38"/>
    <w:rsid w:val="004B0727"/>
    <w:rsid w:val="004B35F0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66CC"/>
    <w:rsid w:val="004D71C5"/>
    <w:rsid w:val="004E2C60"/>
    <w:rsid w:val="004E301F"/>
    <w:rsid w:val="004E390C"/>
    <w:rsid w:val="004E4201"/>
    <w:rsid w:val="004E52EC"/>
    <w:rsid w:val="004E5B75"/>
    <w:rsid w:val="004E6A4F"/>
    <w:rsid w:val="004F111B"/>
    <w:rsid w:val="004F169C"/>
    <w:rsid w:val="004F2CF7"/>
    <w:rsid w:val="004F2FC9"/>
    <w:rsid w:val="004F6CA7"/>
    <w:rsid w:val="004F7677"/>
    <w:rsid w:val="004F7D1E"/>
    <w:rsid w:val="005021C4"/>
    <w:rsid w:val="005035AC"/>
    <w:rsid w:val="00503632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38A0"/>
    <w:rsid w:val="00524876"/>
    <w:rsid w:val="00524F43"/>
    <w:rsid w:val="00525787"/>
    <w:rsid w:val="005274AA"/>
    <w:rsid w:val="00527BBB"/>
    <w:rsid w:val="00527C49"/>
    <w:rsid w:val="0053199E"/>
    <w:rsid w:val="00532ACA"/>
    <w:rsid w:val="005341C8"/>
    <w:rsid w:val="005365D4"/>
    <w:rsid w:val="00536711"/>
    <w:rsid w:val="00541CCA"/>
    <w:rsid w:val="00543E04"/>
    <w:rsid w:val="00545594"/>
    <w:rsid w:val="00551A00"/>
    <w:rsid w:val="005536DB"/>
    <w:rsid w:val="00554D2D"/>
    <w:rsid w:val="00554E60"/>
    <w:rsid w:val="00555FD5"/>
    <w:rsid w:val="005572D7"/>
    <w:rsid w:val="00557A65"/>
    <w:rsid w:val="00557C55"/>
    <w:rsid w:val="00560B40"/>
    <w:rsid w:val="00563092"/>
    <w:rsid w:val="00563108"/>
    <w:rsid w:val="00567A1B"/>
    <w:rsid w:val="00570CDD"/>
    <w:rsid w:val="005719BB"/>
    <w:rsid w:val="005745D3"/>
    <w:rsid w:val="005756B9"/>
    <w:rsid w:val="005778FA"/>
    <w:rsid w:val="00580B9A"/>
    <w:rsid w:val="00580D94"/>
    <w:rsid w:val="00582BF7"/>
    <w:rsid w:val="00585E78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07E5"/>
    <w:rsid w:val="005B335D"/>
    <w:rsid w:val="005B6BF7"/>
    <w:rsid w:val="005C3277"/>
    <w:rsid w:val="005C4D3A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2A6"/>
    <w:rsid w:val="005E44A1"/>
    <w:rsid w:val="005E47D4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37AEF"/>
    <w:rsid w:val="006405B6"/>
    <w:rsid w:val="00640E25"/>
    <w:rsid w:val="00641F37"/>
    <w:rsid w:val="00642AF1"/>
    <w:rsid w:val="00643AEE"/>
    <w:rsid w:val="00643D4C"/>
    <w:rsid w:val="006443FF"/>
    <w:rsid w:val="00646C89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06C"/>
    <w:rsid w:val="00682671"/>
    <w:rsid w:val="0068481A"/>
    <w:rsid w:val="0068498A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6DAD"/>
    <w:rsid w:val="006A72E5"/>
    <w:rsid w:val="006B02C1"/>
    <w:rsid w:val="006B077F"/>
    <w:rsid w:val="006B117F"/>
    <w:rsid w:val="006B118E"/>
    <w:rsid w:val="006B264B"/>
    <w:rsid w:val="006B3A96"/>
    <w:rsid w:val="006B3C37"/>
    <w:rsid w:val="006B6936"/>
    <w:rsid w:val="006C12E6"/>
    <w:rsid w:val="006C17AC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33EF"/>
    <w:rsid w:val="007278B8"/>
    <w:rsid w:val="0073047C"/>
    <w:rsid w:val="007309D3"/>
    <w:rsid w:val="00733BB9"/>
    <w:rsid w:val="00733F8C"/>
    <w:rsid w:val="00737395"/>
    <w:rsid w:val="00742087"/>
    <w:rsid w:val="007421FA"/>
    <w:rsid w:val="007431B2"/>
    <w:rsid w:val="007442ED"/>
    <w:rsid w:val="00746AE6"/>
    <w:rsid w:val="00747139"/>
    <w:rsid w:val="007522F9"/>
    <w:rsid w:val="00754541"/>
    <w:rsid w:val="00757E1D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096C"/>
    <w:rsid w:val="007B19CC"/>
    <w:rsid w:val="007B2A21"/>
    <w:rsid w:val="007B376F"/>
    <w:rsid w:val="007B3FC8"/>
    <w:rsid w:val="007B4631"/>
    <w:rsid w:val="007B6623"/>
    <w:rsid w:val="007B7B33"/>
    <w:rsid w:val="007C1270"/>
    <w:rsid w:val="007C13FE"/>
    <w:rsid w:val="007C5CF8"/>
    <w:rsid w:val="007C681E"/>
    <w:rsid w:val="007C7EC8"/>
    <w:rsid w:val="007D2AE8"/>
    <w:rsid w:val="007D2E8C"/>
    <w:rsid w:val="007D2EA0"/>
    <w:rsid w:val="007D4BD3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E4A"/>
    <w:rsid w:val="0081521A"/>
    <w:rsid w:val="00817315"/>
    <w:rsid w:val="00817550"/>
    <w:rsid w:val="00822E8E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47A9C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854"/>
    <w:rsid w:val="00897DA9"/>
    <w:rsid w:val="008A095F"/>
    <w:rsid w:val="008A17FC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14F6E"/>
    <w:rsid w:val="00915819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7F0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67413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71C"/>
    <w:rsid w:val="00995736"/>
    <w:rsid w:val="00995D66"/>
    <w:rsid w:val="00995F60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57B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510"/>
    <w:rsid w:val="009D1A10"/>
    <w:rsid w:val="009D2EA6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924"/>
    <w:rsid w:val="00A13C78"/>
    <w:rsid w:val="00A141A3"/>
    <w:rsid w:val="00A15411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500B3"/>
    <w:rsid w:val="00A51580"/>
    <w:rsid w:val="00A516EE"/>
    <w:rsid w:val="00A518A9"/>
    <w:rsid w:val="00A525C3"/>
    <w:rsid w:val="00A5317D"/>
    <w:rsid w:val="00A60D59"/>
    <w:rsid w:val="00A61C65"/>
    <w:rsid w:val="00A61CEA"/>
    <w:rsid w:val="00A63C77"/>
    <w:rsid w:val="00A647F8"/>
    <w:rsid w:val="00A650D8"/>
    <w:rsid w:val="00A660B4"/>
    <w:rsid w:val="00A6664D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08EE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BDE"/>
    <w:rsid w:val="00AF6CA5"/>
    <w:rsid w:val="00AF7741"/>
    <w:rsid w:val="00B0138B"/>
    <w:rsid w:val="00B01B6B"/>
    <w:rsid w:val="00B020B8"/>
    <w:rsid w:val="00B02350"/>
    <w:rsid w:val="00B03A86"/>
    <w:rsid w:val="00B04AAF"/>
    <w:rsid w:val="00B04CEF"/>
    <w:rsid w:val="00B06B1D"/>
    <w:rsid w:val="00B12C3F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0417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8A1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77EA0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1B66"/>
    <w:rsid w:val="00BD25B7"/>
    <w:rsid w:val="00BD2AC2"/>
    <w:rsid w:val="00BD449E"/>
    <w:rsid w:val="00BD4BD6"/>
    <w:rsid w:val="00BD534A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C6F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0A4F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5462"/>
    <w:rsid w:val="00C575F7"/>
    <w:rsid w:val="00C608C9"/>
    <w:rsid w:val="00C61ACE"/>
    <w:rsid w:val="00C62003"/>
    <w:rsid w:val="00C64B16"/>
    <w:rsid w:val="00C7172D"/>
    <w:rsid w:val="00C71CA2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4877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39B4"/>
    <w:rsid w:val="00CA4EC6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1C86"/>
    <w:rsid w:val="00CF2484"/>
    <w:rsid w:val="00CF2F0D"/>
    <w:rsid w:val="00CF4B48"/>
    <w:rsid w:val="00CF7220"/>
    <w:rsid w:val="00D012C7"/>
    <w:rsid w:val="00D03009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46F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5DE"/>
    <w:rsid w:val="00D4262F"/>
    <w:rsid w:val="00D42DA8"/>
    <w:rsid w:val="00D43BAF"/>
    <w:rsid w:val="00D45576"/>
    <w:rsid w:val="00D461A2"/>
    <w:rsid w:val="00D46302"/>
    <w:rsid w:val="00D46A8D"/>
    <w:rsid w:val="00D46E0D"/>
    <w:rsid w:val="00D517D1"/>
    <w:rsid w:val="00D528FF"/>
    <w:rsid w:val="00D55710"/>
    <w:rsid w:val="00D6044C"/>
    <w:rsid w:val="00D61838"/>
    <w:rsid w:val="00D62AC1"/>
    <w:rsid w:val="00D62ED4"/>
    <w:rsid w:val="00D6335A"/>
    <w:rsid w:val="00D71C11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42F0"/>
    <w:rsid w:val="00DF5206"/>
    <w:rsid w:val="00DF63F4"/>
    <w:rsid w:val="00E0063B"/>
    <w:rsid w:val="00E00FC3"/>
    <w:rsid w:val="00E02A10"/>
    <w:rsid w:val="00E02A65"/>
    <w:rsid w:val="00E02F43"/>
    <w:rsid w:val="00E04106"/>
    <w:rsid w:val="00E05662"/>
    <w:rsid w:val="00E1039D"/>
    <w:rsid w:val="00E11C17"/>
    <w:rsid w:val="00E11C5A"/>
    <w:rsid w:val="00E120AD"/>
    <w:rsid w:val="00E12FB0"/>
    <w:rsid w:val="00E14FA8"/>
    <w:rsid w:val="00E15EE0"/>
    <w:rsid w:val="00E162CC"/>
    <w:rsid w:val="00E1676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457C4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5D5F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87A2D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7650"/>
    <w:rsid w:val="00EE79B7"/>
    <w:rsid w:val="00EF1061"/>
    <w:rsid w:val="00EF2BB4"/>
    <w:rsid w:val="00EF3A5D"/>
    <w:rsid w:val="00EF4664"/>
    <w:rsid w:val="00EF5BB8"/>
    <w:rsid w:val="00EF7C31"/>
    <w:rsid w:val="00F00146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64F"/>
    <w:rsid w:val="00F12ADD"/>
    <w:rsid w:val="00F132BB"/>
    <w:rsid w:val="00F13BCC"/>
    <w:rsid w:val="00F13DEF"/>
    <w:rsid w:val="00F14E61"/>
    <w:rsid w:val="00F16EBD"/>
    <w:rsid w:val="00F17535"/>
    <w:rsid w:val="00F20EFA"/>
    <w:rsid w:val="00F21F46"/>
    <w:rsid w:val="00F2219E"/>
    <w:rsid w:val="00F23A6F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1580"/>
    <w:rsid w:val="00F62A5A"/>
    <w:rsid w:val="00F63B1A"/>
    <w:rsid w:val="00F65B30"/>
    <w:rsid w:val="00F66BE6"/>
    <w:rsid w:val="00F70677"/>
    <w:rsid w:val="00F72612"/>
    <w:rsid w:val="00F73E99"/>
    <w:rsid w:val="00F74E3B"/>
    <w:rsid w:val="00F76E41"/>
    <w:rsid w:val="00F77283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311"/>
    <w:rsid w:val="00FA5A1B"/>
    <w:rsid w:val="00FA76D4"/>
    <w:rsid w:val="00FB03F5"/>
    <w:rsid w:val="00FB1B91"/>
    <w:rsid w:val="00FB265F"/>
    <w:rsid w:val="00FB3B05"/>
    <w:rsid w:val="00FB4678"/>
    <w:rsid w:val="00FB4C32"/>
    <w:rsid w:val="00FB4F64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D683B"/>
    <w:rsid w:val="00FE29F3"/>
    <w:rsid w:val="00FE2AB4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C2148DD-C081-4458-9A99-D90B1EBE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17</cp:revision>
  <cp:lastPrinted>2017-02-23T16:56:00Z</cp:lastPrinted>
  <dcterms:created xsi:type="dcterms:W3CDTF">2021-01-26T22:43:00Z</dcterms:created>
  <dcterms:modified xsi:type="dcterms:W3CDTF">2021-03-11T16:47:00Z</dcterms:modified>
</cp:coreProperties>
</file>