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0056E7E9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F16153">
        <w:rPr>
          <w:rFonts w:ascii="Verdana" w:hAnsi="Verdana"/>
          <w:b/>
          <w:sz w:val="22"/>
          <w:szCs w:val="20"/>
        </w:rPr>
        <w:t>28 de febrero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2D3041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2D3041">
        <w:trPr>
          <w:trHeight w:val="43"/>
        </w:trPr>
        <w:tc>
          <w:tcPr>
            <w:tcW w:w="6658" w:type="dxa"/>
            <w:tcBorders>
              <w:bottom w:val="nil"/>
            </w:tcBorders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3DA6D36D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65EC">
              <w:rPr>
                <w:rFonts w:ascii="Verdana" w:hAnsi="Verdana"/>
                <w:sz w:val="20"/>
                <w:szCs w:val="20"/>
              </w:rPr>
              <w:t>4.834,7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522DD0">
              <w:rPr>
                <w:rFonts w:ascii="Verdana" w:hAnsi="Verdana"/>
                <w:sz w:val="20"/>
                <w:szCs w:val="20"/>
              </w:rPr>
              <w:t>4,63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39DC7586" w:rsidR="00967413" w:rsidRPr="00967413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413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522DD0">
              <w:rPr>
                <w:rFonts w:ascii="Verdana" w:hAnsi="Verdana"/>
                <w:sz w:val="20"/>
                <w:szCs w:val="20"/>
              </w:rPr>
              <w:t>28 de febrero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de 202</w:t>
            </w:r>
            <w:r w:rsidR="005E47D4">
              <w:rPr>
                <w:rFonts w:ascii="Verdana" w:hAnsi="Verdana"/>
                <w:sz w:val="20"/>
                <w:szCs w:val="20"/>
              </w:rPr>
              <w:t>1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522DD0">
              <w:rPr>
                <w:rFonts w:ascii="Verdana" w:hAnsi="Verdana"/>
                <w:sz w:val="20"/>
                <w:szCs w:val="20"/>
              </w:rPr>
              <w:t>4,63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522DD0">
              <w:rPr>
                <w:rFonts w:ascii="Verdana" w:hAnsi="Verdana"/>
                <w:sz w:val="20"/>
                <w:szCs w:val="20"/>
              </w:rPr>
              <w:t>4.834,7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522DD0">
              <w:rPr>
                <w:rFonts w:ascii="Verdana" w:hAnsi="Verdana"/>
                <w:sz w:val="20"/>
                <w:szCs w:val="20"/>
              </w:rPr>
              <w:t>3,27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>
              <w:rPr>
                <w:rFonts w:ascii="Verdana" w:hAnsi="Verdana"/>
                <w:sz w:val="20"/>
                <w:szCs w:val="20"/>
              </w:rPr>
              <w:t>superávit</w:t>
            </w:r>
            <w:r w:rsidRPr="00967413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522DD0">
              <w:rPr>
                <w:rFonts w:ascii="Verdana" w:hAnsi="Verdana"/>
                <w:sz w:val="20"/>
                <w:szCs w:val="20"/>
              </w:rPr>
              <w:t>1.418,8</w:t>
            </w:r>
            <w:r w:rsidRPr="00967413">
              <w:rPr>
                <w:rFonts w:ascii="Verdana" w:hAnsi="Verdana"/>
                <w:sz w:val="20"/>
                <w:szCs w:val="20"/>
              </w:rPr>
              <w:t>, 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247C5103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522DD0">
              <w:rPr>
                <w:rFonts w:ascii="Verdana" w:hAnsi="Verdana"/>
                <w:iCs/>
                <w:sz w:val="20"/>
                <w:szCs w:val="20"/>
                <w:lang w:val="es-ES"/>
              </w:rPr>
              <w:t>8,7</w:t>
            </w:r>
            <w:r w:rsidR="00451DC9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69A072C2" w14:textId="28DA5569" w:rsidR="00401CBD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401CBD" w:rsidRPr="00401CBD">
              <w:rPr>
                <w:rFonts w:ascii="Verdana" w:hAnsi="Verdana" w:cs="Arial"/>
                <w:sz w:val="20"/>
                <w:szCs w:val="20"/>
              </w:rPr>
              <w:t>Déficit en adquisición de bienes y servicios por 6,4 millones, debido a que en el contrato de adquisición de soporte de unidad de almacenamiento se contrató por menor valor.</w:t>
            </w:r>
          </w:p>
          <w:p w14:paraId="36C27484" w14:textId="33D0BAF1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5E47D4">
              <w:rPr>
                <w:rFonts w:ascii="Verdana" w:hAnsi="Verdana" w:cs="Arial"/>
                <w:sz w:val="20"/>
                <w:szCs w:val="20"/>
              </w:rPr>
              <w:t>se cumplió la meta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por valor de </w:t>
            </w:r>
            <w:r w:rsidR="005E47D4" w:rsidRPr="0049603A">
              <w:rPr>
                <w:rFonts w:ascii="Verdana" w:hAnsi="Verdana" w:cs="Arial"/>
                <w:sz w:val="20"/>
                <w:szCs w:val="20"/>
              </w:rPr>
              <w:t>84</w:t>
            </w:r>
            <w:r w:rsidR="005E47D4">
              <w:rPr>
                <w:rFonts w:ascii="Verdana" w:hAnsi="Verdana" w:cs="Arial"/>
                <w:sz w:val="20"/>
                <w:szCs w:val="20"/>
              </w:rPr>
              <w:t>,8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</w:t>
            </w:r>
            <w:r w:rsidR="002209E6">
              <w:rPr>
                <w:rFonts w:ascii="Verdana" w:hAnsi="Verdana" w:cs="Arial"/>
                <w:sz w:val="20"/>
                <w:szCs w:val="20"/>
              </w:rPr>
              <w:t>FOCAI.</w:t>
            </w:r>
            <w:r w:rsidR="001E11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90B02">
              <w:rPr>
                <w:rFonts w:ascii="Verdana" w:hAnsi="Verdana" w:cs="Arial"/>
                <w:sz w:val="20"/>
                <w:szCs w:val="20"/>
              </w:rPr>
              <w:t>900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90B02">
              <w:rPr>
                <w:rFonts w:ascii="Verdana" w:hAnsi="Verdana" w:cs="Arial"/>
                <w:sz w:val="20"/>
                <w:szCs w:val="20"/>
              </w:rPr>
              <w:t>mil</w:t>
            </w:r>
            <w:r w:rsidR="005E47D4">
              <w:rPr>
                <w:rFonts w:ascii="Verdana" w:hAnsi="Verdana" w:cs="Arial"/>
                <w:sz w:val="20"/>
                <w:szCs w:val="20"/>
              </w:rPr>
              <w:t xml:space="preserve"> de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9F37FE" w14:textId="04179BAB" w:rsidR="00821F0A" w:rsidRDefault="00A67EEC" w:rsidP="001F29F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95055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4950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495055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1F29FE">
              <w:rPr>
                <w:rFonts w:ascii="Verdana" w:hAnsi="Verdana"/>
                <w:sz w:val="20"/>
                <w:szCs w:val="20"/>
              </w:rPr>
              <w:t>1.417</w:t>
            </w:r>
            <w:r w:rsidR="001E1189" w:rsidRPr="00495055">
              <w:rPr>
                <w:rFonts w:ascii="Verdana" w:hAnsi="Verdana"/>
                <w:sz w:val="20"/>
                <w:szCs w:val="20"/>
              </w:rPr>
              <w:t>,</w:t>
            </w:r>
            <w:r w:rsidR="001F29FE">
              <w:rPr>
                <w:rFonts w:ascii="Verdana" w:hAnsi="Verdana"/>
                <w:sz w:val="20"/>
                <w:szCs w:val="20"/>
              </w:rPr>
              <w:t>4</w:t>
            </w:r>
            <w:r w:rsidR="00BD1B66" w:rsidRPr="00495055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>
              <w:rPr>
                <w:rFonts w:ascii="Verdana" w:hAnsi="Verdana"/>
                <w:sz w:val="20"/>
                <w:szCs w:val="20"/>
              </w:rPr>
              <w:t>que se comprometieron contratos por el rubro de Administración de recursos</w:t>
            </w:r>
            <w:r w:rsidR="003D132A">
              <w:rPr>
                <w:rFonts w:ascii="Verdana" w:hAnsi="Verdana"/>
                <w:sz w:val="20"/>
                <w:szCs w:val="20"/>
              </w:rPr>
              <w:t xml:space="preserve"> por los proyectos del </w:t>
            </w:r>
            <w:r w:rsidR="001F29FE">
              <w:rPr>
                <w:rFonts w:ascii="Verdana" w:hAnsi="Verdana"/>
                <w:sz w:val="20"/>
                <w:szCs w:val="20"/>
              </w:rPr>
              <w:t xml:space="preserve">Howard Buffett </w:t>
            </w:r>
            <w:r w:rsidR="003D132A">
              <w:rPr>
                <w:rFonts w:ascii="Verdana" w:hAnsi="Verdana"/>
                <w:sz w:val="20"/>
                <w:szCs w:val="20"/>
              </w:rPr>
              <w:t xml:space="preserve">se </w:t>
            </w:r>
            <w:r w:rsidR="001F29FE">
              <w:rPr>
                <w:rFonts w:ascii="Verdana" w:hAnsi="Verdana"/>
                <w:sz w:val="20"/>
                <w:szCs w:val="20"/>
              </w:rPr>
              <w:t xml:space="preserve">adelantó la contratación de la </w:t>
            </w:r>
            <w:r w:rsidR="00821F0A">
              <w:rPr>
                <w:rFonts w:ascii="Verdana" w:hAnsi="Verdana"/>
                <w:sz w:val="20"/>
                <w:szCs w:val="20"/>
              </w:rPr>
              <w:t>adquisición</w:t>
            </w:r>
            <w:r w:rsidR="001F29FE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821F0A">
              <w:rPr>
                <w:rFonts w:ascii="Verdana" w:hAnsi="Verdana"/>
                <w:sz w:val="20"/>
                <w:szCs w:val="20"/>
              </w:rPr>
              <w:t xml:space="preserve">combustible </w:t>
            </w:r>
            <w:r w:rsidR="00821F0A" w:rsidRPr="001F29FE">
              <w:rPr>
                <w:rFonts w:ascii="Verdana" w:hAnsi="Verdana"/>
                <w:sz w:val="20"/>
                <w:szCs w:val="20"/>
              </w:rPr>
              <w:t>con</w:t>
            </w:r>
            <w:r w:rsidR="001F29FE" w:rsidRPr="001F29FE">
              <w:rPr>
                <w:rFonts w:ascii="Verdana" w:hAnsi="Verdana"/>
                <w:sz w:val="20"/>
                <w:szCs w:val="20"/>
              </w:rPr>
              <w:t xml:space="preserve"> destino a la Brigada de Ingenieros de Desminado Humanitario No. 1</w:t>
            </w:r>
            <w:r w:rsidR="00821F0A">
              <w:rPr>
                <w:rFonts w:ascii="Verdana" w:hAnsi="Verdana"/>
                <w:sz w:val="20"/>
                <w:szCs w:val="20"/>
              </w:rPr>
              <w:t>.</w:t>
            </w:r>
          </w:p>
          <w:p w14:paraId="39ED14A1" w14:textId="77777777" w:rsidR="00821F0A" w:rsidRDefault="00821F0A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7F9EBC2B" w:rsidR="00464CE7" w:rsidRPr="00ED6E49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401CBD">
              <w:rPr>
                <w:rFonts w:ascii="Verdana" w:hAnsi="Verdana"/>
                <w:sz w:val="20"/>
              </w:rPr>
              <w:t xml:space="preserve">El </w:t>
            </w:r>
            <w:r w:rsidR="00403E49" w:rsidRPr="00401CBD">
              <w:rPr>
                <w:rFonts w:ascii="Verdana" w:hAnsi="Verdana"/>
                <w:sz w:val="20"/>
              </w:rPr>
              <w:t>55,86</w:t>
            </w:r>
            <w:r w:rsidRPr="00401CB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403E49" w:rsidRPr="00401CBD">
              <w:rPr>
                <w:rFonts w:ascii="Verdana" w:hAnsi="Verdana"/>
                <w:sz w:val="20"/>
              </w:rPr>
              <w:t>44,14</w:t>
            </w:r>
            <w:r w:rsidRPr="00401CBD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0A98DA10" w14:textId="77777777" w:rsidR="00A67EEC" w:rsidRPr="00181E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1E6C">
              <w:rPr>
                <w:rFonts w:ascii="Verdana" w:hAnsi="Verdana"/>
                <w:sz w:val="20"/>
                <w:szCs w:val="20"/>
              </w:rPr>
              <w:lastRenderedPageBreak/>
              <w:t xml:space="preserve">La ejecución de los gastos de funcionamiento estuvo distribuida de la siguiente manera: </w:t>
            </w:r>
          </w:p>
          <w:p w14:paraId="24F2599A" w14:textId="77777777" w:rsidR="00A67EEC" w:rsidRPr="0053199E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42D86D9A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403E49">
              <w:rPr>
                <w:rFonts w:ascii="Verdana" w:hAnsi="Verdana" w:cs="Arial"/>
                <w:sz w:val="20"/>
                <w:szCs w:val="20"/>
              </w:rPr>
              <w:t>51,31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7B7F39C1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403E49">
              <w:rPr>
                <w:rFonts w:ascii="Verdana" w:hAnsi="Verdana" w:cs="Arial"/>
                <w:sz w:val="20"/>
                <w:szCs w:val="20"/>
              </w:rPr>
              <w:t>45,41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725D36F9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403E49">
              <w:rPr>
                <w:rFonts w:ascii="Verdana" w:hAnsi="Verdana" w:cs="Arial"/>
                <w:sz w:val="20"/>
                <w:szCs w:val="20"/>
              </w:rPr>
              <w:t>3,29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403E49">
              <w:rPr>
                <w:rFonts w:ascii="Verdana" w:hAnsi="Verdana" w:cs="Arial"/>
                <w:sz w:val="20"/>
                <w:szCs w:val="20"/>
              </w:rPr>
              <w:t>3,14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B468A1">
              <w:rPr>
                <w:rFonts w:ascii="Verdana" w:hAnsi="Verdana" w:cs="Arial"/>
                <w:sz w:val="20"/>
                <w:szCs w:val="20"/>
              </w:rPr>
              <w:t>1</w:t>
            </w:r>
            <w:r w:rsidR="003D132A">
              <w:rPr>
                <w:rFonts w:ascii="Verdana" w:hAnsi="Verdana" w:cs="Arial"/>
                <w:sz w:val="20"/>
                <w:szCs w:val="20"/>
              </w:rPr>
              <w:t>5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3D132A">
              <w:rPr>
                <w:rFonts w:ascii="Verdana" w:hAnsi="Verdana" w:cs="Arial"/>
                <w:sz w:val="20"/>
                <w:szCs w:val="20"/>
              </w:rPr>
              <w:t>00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9B7746" w:rsidRDefault="002D3041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1FFA5BB9" w14:textId="39458775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6F013E49" w:rsidR="00A67EEC" w:rsidRPr="00B176DD" w:rsidRDefault="0022235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403E49">
              <w:rPr>
                <w:rFonts w:ascii="Verdana" w:hAnsi="Verdana"/>
                <w:sz w:val="20"/>
                <w:szCs w:val="20"/>
              </w:rPr>
              <w:t>95,28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3E49">
              <w:rPr>
                <w:rFonts w:ascii="Verdana" w:hAnsi="Verdana"/>
                <w:sz w:val="20"/>
                <w:szCs w:val="20"/>
              </w:rPr>
              <w:t>2.033,4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226A621" w14:textId="264627D5" w:rsidR="00A2238C" w:rsidRDefault="00403E4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465</w:t>
            </w:r>
            <w:r w:rsidR="004201F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5D644E77" w14:textId="79E5991A" w:rsidR="00E75D5F" w:rsidRDefault="00403E49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197</w:t>
            </w:r>
            <w:r w:rsidR="004201F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E75D5F">
              <w:rPr>
                <w:rFonts w:ascii="Verdana" w:hAnsi="Verdana"/>
                <w:sz w:val="20"/>
                <w:szCs w:val="20"/>
              </w:rPr>
              <w:t xml:space="preserve"> millones por cuenta del proyecto de BCIE.</w:t>
            </w:r>
          </w:p>
          <w:p w14:paraId="782F7733" w14:textId="16E5DCA1" w:rsidR="00403E49" w:rsidRDefault="00403E49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1.161,4 millones por cuenta del proyecto Howard Buffet Apoyo Desminado Terrestre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70932A3" w14:textId="0AE76C5A" w:rsidR="00F57B74" w:rsidRPr="003C58A7" w:rsidRDefault="004201F5" w:rsidP="00401CB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62003">
              <w:rPr>
                <w:rFonts w:ascii="Verdana" w:hAnsi="Verdana"/>
                <w:sz w:val="20"/>
                <w:szCs w:val="20"/>
              </w:rPr>
              <w:t>)</w:t>
            </w:r>
            <w:r w:rsidR="00C62003"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401CBD">
              <w:rPr>
                <w:rFonts w:ascii="Verdana" w:hAnsi="Verdana"/>
                <w:sz w:val="20"/>
                <w:szCs w:val="20"/>
              </w:rPr>
              <w:t>4,72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1CBD">
              <w:rPr>
                <w:rFonts w:ascii="Verdana" w:hAnsi="Verdana"/>
                <w:sz w:val="20"/>
                <w:szCs w:val="20"/>
              </w:rPr>
              <w:t>100,7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>
              <w:rPr>
                <w:rFonts w:ascii="Verdana" w:hAnsi="Verdana"/>
                <w:sz w:val="20"/>
                <w:szCs w:val="20"/>
              </w:rPr>
              <w:t>un profesional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>
              <w:rPr>
                <w:rFonts w:ascii="Verdana" w:hAnsi="Verdana"/>
                <w:sz w:val="20"/>
                <w:szCs w:val="20"/>
              </w:rPr>
              <w:t>proyecto</w:t>
            </w:r>
            <w:r w:rsidR="00B468A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6E9E191E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52F6">
              <w:rPr>
                <w:rFonts w:ascii="Verdana" w:hAnsi="Verdana"/>
                <w:sz w:val="20"/>
                <w:szCs w:val="20"/>
              </w:rPr>
              <w:t>2.929,8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="003D132A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F652F6">
              <w:rPr>
                <w:rFonts w:ascii="Verdana" w:hAnsi="Verdana"/>
                <w:sz w:val="20"/>
                <w:szCs w:val="20"/>
              </w:rPr>
              <w:t>2</w:t>
            </w:r>
            <w:r w:rsidR="00385057">
              <w:rPr>
                <w:rFonts w:ascii="Verdana" w:hAnsi="Verdana"/>
                <w:sz w:val="20"/>
                <w:szCs w:val="20"/>
              </w:rPr>
              <w:t>,8</w:t>
            </w:r>
            <w:r w:rsidR="00F652F6">
              <w:rPr>
                <w:rFonts w:ascii="Verdana" w:hAnsi="Verdana"/>
                <w:sz w:val="20"/>
                <w:szCs w:val="20"/>
              </w:rPr>
              <w:t>0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21FDD81A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52F6">
              <w:rPr>
                <w:rFonts w:ascii="Verdana" w:hAnsi="Verdana"/>
                <w:sz w:val="20"/>
                <w:szCs w:val="20"/>
              </w:rPr>
              <w:t>28 de febrero</w:t>
            </w:r>
            <w:r w:rsidR="00D0300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F652F6">
              <w:rPr>
                <w:rFonts w:ascii="Verdana" w:hAnsi="Verdana"/>
                <w:sz w:val="20"/>
                <w:szCs w:val="20"/>
              </w:rPr>
              <w:t>2,80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F652F6">
              <w:rPr>
                <w:rFonts w:ascii="Verdana" w:hAnsi="Verdana"/>
                <w:sz w:val="20"/>
                <w:szCs w:val="20"/>
              </w:rPr>
              <w:t>2.929,8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F652F6">
              <w:rPr>
                <w:rFonts w:ascii="Verdana" w:hAnsi="Verdana"/>
                <w:sz w:val="20"/>
                <w:szCs w:val="20"/>
              </w:rPr>
              <w:t>2,19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C55462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F652F6">
              <w:rPr>
                <w:rFonts w:ascii="Verdana" w:hAnsi="Verdana"/>
                <w:sz w:val="20"/>
                <w:szCs w:val="20"/>
              </w:rPr>
              <w:t>2.284</w:t>
            </w:r>
            <w:r w:rsidR="00C55462">
              <w:rPr>
                <w:rFonts w:ascii="Verdana" w:hAnsi="Verdana"/>
                <w:sz w:val="20"/>
                <w:szCs w:val="20"/>
              </w:rPr>
              <w:t>,</w:t>
            </w:r>
            <w:r w:rsidR="00F652F6">
              <w:rPr>
                <w:rFonts w:ascii="Verdana" w:hAnsi="Verdana"/>
                <w:sz w:val="20"/>
                <w:szCs w:val="20"/>
              </w:rPr>
              <w:t>6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499DA753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F652F6">
              <w:rPr>
                <w:rFonts w:ascii="Verdana" w:hAnsi="Verdana"/>
                <w:iCs/>
                <w:sz w:val="20"/>
                <w:szCs w:val="20"/>
                <w:lang w:val="es-ES"/>
              </w:rPr>
              <w:t>7,8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</w:t>
            </w:r>
            <w:r w:rsidR="009D2EA6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</w:p>
          <w:p w14:paraId="34C3BEB4" w14:textId="31DE28AC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F652F6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F652F6">
              <w:rPr>
                <w:rFonts w:ascii="Verdana" w:hAnsi="Verdana" w:cs="Arial"/>
                <w:sz w:val="20"/>
                <w:szCs w:val="20"/>
                <w:lang w:val="es-CO"/>
              </w:rPr>
              <w:t>18,2</w:t>
            </w:r>
            <w:r w:rsidR="0068199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>debido</w:t>
            </w:r>
            <w:r w:rsidR="00D425DE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9960C5">
              <w:rPr>
                <w:rFonts w:ascii="Verdana" w:hAnsi="Verdana" w:cs="Arial"/>
                <w:sz w:val="20"/>
                <w:szCs w:val="20"/>
                <w:lang w:val="es-CO"/>
              </w:rPr>
              <w:t>a que el pago de la factura por concepto de aseo y cafetería el consumo bajo y en la prestación del servicio de correo no se ejecuto en lo que se tenia previsto</w:t>
            </w:r>
          </w:p>
          <w:p w14:paraId="25F18782" w14:textId="4303ED07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3) 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déficit de </w:t>
            </w:r>
            <w:r w:rsidR="009960C5">
              <w:rPr>
                <w:rFonts w:ascii="Verdana" w:hAnsi="Verdana" w:cs="Arial"/>
                <w:sz w:val="20"/>
                <w:szCs w:val="20"/>
              </w:rPr>
              <w:t xml:space="preserve">900 mil </w:t>
            </w:r>
            <w:r>
              <w:rPr>
                <w:rFonts w:ascii="Verdana" w:hAnsi="Verdana" w:cs="Arial"/>
                <w:sz w:val="20"/>
                <w:szCs w:val="20"/>
              </w:rPr>
              <w:t>pesos 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4CE376" w14:textId="54D5B45A" w:rsidR="0068498A" w:rsidRPr="009960C5" w:rsidRDefault="009960C5" w:rsidP="009960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B) </w:t>
            </w:r>
            <w:r w:rsidR="00A750DC"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9960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60C5">
              <w:rPr>
                <w:rFonts w:ascii="Verdana" w:hAnsi="Verdana"/>
                <w:sz w:val="20"/>
                <w:szCs w:val="20"/>
              </w:rPr>
              <w:t xml:space="preserve">La ejecución en inversión tiene superávit de 656,5 millones </w:t>
            </w:r>
            <w:r>
              <w:rPr>
                <w:rFonts w:ascii="Verdana" w:hAnsi="Verdana"/>
                <w:sz w:val="20"/>
                <w:szCs w:val="20"/>
              </w:rPr>
              <w:t>debido a que el proceso con contratación de las adquisiciones de pólizas se adelantó así mismo se pago antes de lo planeado.</w:t>
            </w:r>
          </w:p>
          <w:p w14:paraId="1EF7D17F" w14:textId="77777777" w:rsidR="009960C5" w:rsidRPr="009960C5" w:rsidRDefault="009960C5" w:rsidP="009960C5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76CC672A" w:rsidR="0004373C" w:rsidRPr="00991080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A30364" w:rsidRPr="00991080">
              <w:rPr>
                <w:rFonts w:ascii="Verdana" w:hAnsi="Verdana" w:cs="Arial"/>
                <w:sz w:val="20"/>
                <w:szCs w:val="20"/>
                <w:lang w:val="es-CO"/>
              </w:rPr>
              <w:t>58,83</w:t>
            </w: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A30364" w:rsidRPr="00991080">
              <w:rPr>
                <w:rFonts w:ascii="Verdana" w:hAnsi="Verdana" w:cs="Arial"/>
                <w:sz w:val="20"/>
                <w:szCs w:val="20"/>
                <w:lang w:val="es-CO"/>
              </w:rPr>
              <w:t>41,17</w:t>
            </w: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683B">
              <w:rPr>
                <w:rFonts w:ascii="Verdana" w:hAnsi="Verdana" w:cs="Arial"/>
                <w:sz w:val="20"/>
                <w:szCs w:val="20"/>
              </w:rPr>
              <w:lastRenderedPageBreak/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620F9E3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A30364">
              <w:rPr>
                <w:rFonts w:ascii="Verdana" w:hAnsi="Verdana" w:cs="Arial"/>
                <w:sz w:val="20"/>
                <w:szCs w:val="20"/>
              </w:rPr>
              <w:t>80,33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2431410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A30364">
              <w:rPr>
                <w:rFonts w:ascii="Verdana" w:hAnsi="Verdana" w:cs="Arial"/>
                <w:sz w:val="20"/>
                <w:szCs w:val="20"/>
              </w:rPr>
              <w:t>18,83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7D7D354A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637AEF">
              <w:rPr>
                <w:rFonts w:ascii="Verdana" w:hAnsi="Verdana" w:cs="Arial"/>
                <w:sz w:val="20"/>
                <w:szCs w:val="20"/>
              </w:rPr>
              <w:t>0,</w:t>
            </w:r>
            <w:r w:rsidR="00A30364">
              <w:rPr>
                <w:rFonts w:ascii="Verdana" w:hAnsi="Verdana" w:cs="Arial"/>
                <w:sz w:val="20"/>
                <w:szCs w:val="20"/>
              </w:rPr>
              <w:t>85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A30364">
              <w:rPr>
                <w:rFonts w:ascii="Verdana" w:hAnsi="Verdana" w:cs="Arial"/>
                <w:sz w:val="20"/>
                <w:szCs w:val="20"/>
              </w:rPr>
              <w:t>0,61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A30364">
              <w:rPr>
                <w:rFonts w:ascii="Verdana" w:hAnsi="Verdana" w:cs="Arial"/>
                <w:sz w:val="20"/>
                <w:szCs w:val="20"/>
              </w:rPr>
              <w:t>23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4661FE05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385AE86C" w14:textId="77777777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540D5CB2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 xml:space="preserve">1) Administración de Recursos de Cooperación con el </w:t>
            </w:r>
            <w:r>
              <w:rPr>
                <w:rFonts w:ascii="Verdana" w:hAnsi="Verdana" w:cs="Arial"/>
                <w:sz w:val="20"/>
                <w:szCs w:val="20"/>
              </w:rPr>
              <w:t>99,14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 w:cs="Arial"/>
                <w:sz w:val="20"/>
                <w:szCs w:val="20"/>
              </w:rPr>
              <w:t>1.195,8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08BFF222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a)346,0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15930265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b)664,8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75E0F9D8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c)17,3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5C28BE98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166,8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779AE997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1301C1" w14:textId="22937C7F" w:rsidR="001F6498" w:rsidRPr="009B7746" w:rsidRDefault="00A30364" w:rsidP="00991080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>
              <w:rPr>
                <w:rFonts w:ascii="Verdana" w:hAnsi="Verdana" w:cs="Arial"/>
                <w:sz w:val="20"/>
                <w:szCs w:val="20"/>
              </w:rPr>
              <w:t>0,86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 w:cs="Arial"/>
                <w:sz w:val="20"/>
                <w:szCs w:val="20"/>
              </w:rPr>
              <w:t>10,4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dos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D6E5D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6"/>
  </w:num>
  <w:num w:numId="5">
    <w:abstractNumId w:val="17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5"/>
  </w:num>
  <w:num w:numId="12">
    <w:abstractNumId w:val="21"/>
  </w:num>
  <w:num w:numId="13">
    <w:abstractNumId w:val="20"/>
  </w:num>
  <w:num w:numId="14">
    <w:abstractNumId w:val="3"/>
  </w:num>
  <w:num w:numId="15">
    <w:abstractNumId w:val="18"/>
  </w:num>
  <w:num w:numId="16">
    <w:abstractNumId w:val="5"/>
  </w:num>
  <w:num w:numId="17">
    <w:abstractNumId w:val="12"/>
  </w:num>
  <w:num w:numId="18">
    <w:abstractNumId w:val="0"/>
  </w:num>
  <w:num w:numId="19">
    <w:abstractNumId w:val="10"/>
  </w:num>
  <w:num w:numId="20">
    <w:abstractNumId w:val="22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CO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5EC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1189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1497"/>
    <w:rsid w:val="00342BC9"/>
    <w:rsid w:val="00344DCE"/>
    <w:rsid w:val="00347499"/>
    <w:rsid w:val="0034775A"/>
    <w:rsid w:val="00350551"/>
    <w:rsid w:val="00353B9A"/>
    <w:rsid w:val="00355DFC"/>
    <w:rsid w:val="003629E9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17AC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2BB"/>
    <w:rsid w:val="00F13BCC"/>
    <w:rsid w:val="00F13DEF"/>
    <w:rsid w:val="00F14E61"/>
    <w:rsid w:val="00F16153"/>
    <w:rsid w:val="00F16EBD"/>
    <w:rsid w:val="00F17535"/>
    <w:rsid w:val="00F20EFA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1580"/>
    <w:rsid w:val="00F62A5A"/>
    <w:rsid w:val="00F63B1A"/>
    <w:rsid w:val="00F652F6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33060A-6FF8-4F47-89F0-B8897FAD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22</cp:revision>
  <cp:lastPrinted>2017-02-23T16:56:00Z</cp:lastPrinted>
  <dcterms:created xsi:type="dcterms:W3CDTF">2021-01-26T22:43:00Z</dcterms:created>
  <dcterms:modified xsi:type="dcterms:W3CDTF">2021-03-16T16:45:00Z</dcterms:modified>
</cp:coreProperties>
</file>