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EB8F4" w14:textId="77777777" w:rsidR="00873972" w:rsidRPr="003C58A7" w:rsidRDefault="00873972" w:rsidP="00B41CB3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>AGENCIA PRESIDENCIAL DE COOPERACIÓN INTERNACIONAL</w:t>
      </w:r>
    </w:p>
    <w:p w14:paraId="018A73C9" w14:textId="4B1B3482" w:rsidR="00DF3B93" w:rsidRPr="003C58A7" w:rsidRDefault="00873972" w:rsidP="00790E69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 xml:space="preserve">Ejecución presupuestal a </w:t>
      </w:r>
      <w:r w:rsidR="007233EF">
        <w:rPr>
          <w:rFonts w:ascii="Verdana" w:hAnsi="Verdana"/>
          <w:b/>
          <w:sz w:val="22"/>
          <w:szCs w:val="20"/>
        </w:rPr>
        <w:t xml:space="preserve">31 de </w:t>
      </w:r>
      <w:r w:rsidR="007C1270">
        <w:rPr>
          <w:rFonts w:ascii="Verdana" w:hAnsi="Verdana"/>
          <w:b/>
          <w:sz w:val="22"/>
          <w:szCs w:val="20"/>
        </w:rPr>
        <w:t>diciembre</w:t>
      </w:r>
      <w:r w:rsidR="001645D6" w:rsidRPr="003C58A7">
        <w:rPr>
          <w:rFonts w:ascii="Verdana" w:hAnsi="Verdana"/>
          <w:b/>
          <w:sz w:val="22"/>
          <w:szCs w:val="20"/>
        </w:rPr>
        <w:t xml:space="preserve"> </w:t>
      </w:r>
      <w:r w:rsidR="003A11C2">
        <w:rPr>
          <w:rFonts w:ascii="Verdana" w:hAnsi="Verdana"/>
          <w:b/>
          <w:sz w:val="22"/>
          <w:szCs w:val="20"/>
        </w:rPr>
        <w:t xml:space="preserve">de </w:t>
      </w:r>
      <w:r w:rsidR="00DF3B93">
        <w:rPr>
          <w:rFonts w:ascii="Verdana" w:hAnsi="Verdana"/>
          <w:b/>
          <w:sz w:val="22"/>
          <w:szCs w:val="20"/>
        </w:rPr>
        <w:t>2020</w:t>
      </w:r>
    </w:p>
    <w:p w14:paraId="3788A556" w14:textId="77777777" w:rsidR="00873972" w:rsidRPr="003C58A7" w:rsidRDefault="00873972" w:rsidP="00B41CB3">
      <w:pPr>
        <w:rPr>
          <w:rFonts w:ascii="Verdana" w:hAnsi="Verdana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59"/>
        <w:gridCol w:w="6719"/>
      </w:tblGrid>
      <w:tr w:rsidR="000023EC" w:rsidRPr="003C58A7" w14:paraId="2641BF55" w14:textId="77777777" w:rsidTr="00FC7A61">
        <w:tc>
          <w:tcPr>
            <w:tcW w:w="0" w:type="auto"/>
            <w:shd w:val="clear" w:color="auto" w:fill="auto"/>
          </w:tcPr>
          <w:p w14:paraId="103B9A61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C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ompromisos</w:t>
            </w:r>
          </w:p>
        </w:tc>
        <w:tc>
          <w:tcPr>
            <w:tcW w:w="0" w:type="auto"/>
            <w:shd w:val="clear" w:color="auto" w:fill="auto"/>
          </w:tcPr>
          <w:p w14:paraId="599E3AC7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O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bligaciones</w:t>
            </w:r>
          </w:p>
        </w:tc>
      </w:tr>
      <w:tr w:rsidR="000023EC" w:rsidRPr="003C58A7" w14:paraId="7C3718D5" w14:textId="77777777" w:rsidTr="00FC7A61">
        <w:trPr>
          <w:trHeight w:val="43"/>
        </w:trPr>
        <w:tc>
          <w:tcPr>
            <w:tcW w:w="0" w:type="auto"/>
            <w:shd w:val="clear" w:color="auto" w:fill="auto"/>
            <w:vAlign w:val="center"/>
          </w:tcPr>
          <w:p w14:paraId="4355EDF4" w14:textId="77777777" w:rsidR="00A67EEC" w:rsidRPr="003C58A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8A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Ejecución Compromisos / Apropiación Vigente.</w:t>
            </w:r>
          </w:p>
          <w:p w14:paraId="52968DD2" w14:textId="3B74C3A0" w:rsidR="00A67EEC" w:rsidRPr="003C58A7" w:rsidRDefault="00784A24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8A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="00BD2A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213C5">
              <w:rPr>
                <w:rFonts w:ascii="Verdana" w:hAnsi="Verdana"/>
                <w:sz w:val="20"/>
                <w:szCs w:val="20"/>
              </w:rPr>
              <w:t>42.404</w:t>
            </w:r>
            <w:r w:rsidR="00CF1C86">
              <w:rPr>
                <w:rFonts w:ascii="Verdana" w:hAnsi="Verdana"/>
                <w:sz w:val="20"/>
                <w:szCs w:val="20"/>
              </w:rPr>
              <w:t>,</w:t>
            </w:r>
            <w:r w:rsidR="000213C5">
              <w:rPr>
                <w:rFonts w:ascii="Verdana" w:hAnsi="Verdana"/>
                <w:sz w:val="20"/>
                <w:szCs w:val="20"/>
              </w:rPr>
              <w:t>3</w:t>
            </w:r>
            <w:r w:rsidR="00A3777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C58A7">
              <w:rPr>
                <w:rFonts w:ascii="Verdana" w:hAnsi="Verdana"/>
                <w:sz w:val="20"/>
                <w:szCs w:val="20"/>
              </w:rPr>
              <w:t>/</w:t>
            </w:r>
            <w:r w:rsidR="00A3777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213C5">
              <w:rPr>
                <w:rFonts w:ascii="Verdana" w:hAnsi="Verdana"/>
                <w:sz w:val="20"/>
                <w:szCs w:val="20"/>
              </w:rPr>
              <w:t>61.513</w:t>
            </w:r>
            <w:r w:rsidR="00DF3B93">
              <w:rPr>
                <w:rFonts w:ascii="Verdana" w:hAnsi="Verdana"/>
                <w:sz w:val="20"/>
                <w:szCs w:val="20"/>
              </w:rPr>
              <w:t>,</w:t>
            </w:r>
            <w:r w:rsidR="000213C5">
              <w:rPr>
                <w:rFonts w:ascii="Verdana" w:hAnsi="Verdana"/>
                <w:sz w:val="20"/>
                <w:szCs w:val="20"/>
              </w:rPr>
              <w:t>3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2AC2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CF1C86">
              <w:rPr>
                <w:rFonts w:ascii="Verdana" w:hAnsi="Verdana"/>
                <w:sz w:val="20"/>
                <w:szCs w:val="20"/>
              </w:rPr>
              <w:t>6</w:t>
            </w:r>
            <w:r w:rsidR="000213C5">
              <w:rPr>
                <w:rFonts w:ascii="Verdana" w:hAnsi="Verdana"/>
                <w:sz w:val="20"/>
                <w:szCs w:val="20"/>
              </w:rPr>
              <w:t>8</w:t>
            </w:r>
            <w:r w:rsidR="00CF1C86">
              <w:rPr>
                <w:rFonts w:ascii="Verdana" w:hAnsi="Verdana"/>
                <w:sz w:val="20"/>
                <w:szCs w:val="20"/>
              </w:rPr>
              <w:t>,</w:t>
            </w:r>
            <w:r w:rsidR="000213C5">
              <w:rPr>
                <w:rFonts w:ascii="Verdana" w:hAnsi="Verdana"/>
                <w:sz w:val="20"/>
                <w:szCs w:val="20"/>
              </w:rPr>
              <w:t>94</w:t>
            </w:r>
            <w:r w:rsidR="00A67EEC" w:rsidRPr="003C58A7">
              <w:rPr>
                <w:rFonts w:ascii="Verdana" w:hAnsi="Verdana"/>
                <w:sz w:val="20"/>
                <w:szCs w:val="20"/>
              </w:rPr>
              <w:t>%.</w:t>
            </w:r>
          </w:p>
          <w:p w14:paraId="74CB8581" w14:textId="77777777" w:rsidR="00A67EEC" w:rsidRPr="003C58A7" w:rsidRDefault="00A67EEC" w:rsidP="0096741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43363DF" w14:textId="77777777" w:rsidR="00967413" w:rsidRPr="00967413" w:rsidRDefault="00967413" w:rsidP="0096741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67413">
              <w:rPr>
                <w:rFonts w:ascii="Verdana" w:hAnsi="Verdana"/>
                <w:sz w:val="20"/>
                <w:szCs w:val="20"/>
              </w:rPr>
              <w:t>Con corte al 31 de diciembre de 2020, la ejecución presupuestal de la entidad fue del 68,94% equivalente a 42.404,3 millones, frente a una meta del 94,3%, con un déficit de 16.962,0 millones, el cual se explica de la siguiente manera:</w:t>
            </w:r>
          </w:p>
          <w:p w14:paraId="6A144967" w14:textId="77777777" w:rsidR="00D42DA8" w:rsidRPr="00BB1369" w:rsidRDefault="00D42DA8" w:rsidP="00691C7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35A210E" w14:textId="5FEF6BFC" w:rsidR="00CB005B" w:rsidRPr="00D42DA8" w:rsidRDefault="00A67EEC" w:rsidP="00D42DA8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D42DA8">
              <w:rPr>
                <w:rFonts w:ascii="Verdana" w:hAnsi="Verdana"/>
                <w:b/>
                <w:sz w:val="20"/>
                <w:szCs w:val="20"/>
                <w:u w:val="single"/>
              </w:rPr>
              <w:t>Gastos de funcionamiento:</w:t>
            </w:r>
          </w:p>
          <w:p w14:paraId="1D6251F8" w14:textId="77777777" w:rsidR="00D42DA8" w:rsidRPr="00D42DA8" w:rsidRDefault="00D42DA8" w:rsidP="00D42DA8">
            <w:pPr>
              <w:pStyle w:val="Prrafodelista"/>
              <w:ind w:left="435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63B31BE8" w14:textId="7049FB6E" w:rsidR="00CB005B" w:rsidRDefault="00A67EEC" w:rsidP="00691C73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9331E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3FEB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1) 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>Superávit</w:t>
            </w:r>
            <w:r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</w:t>
            </w:r>
            <w:r w:rsidR="009331E5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</w:t>
            </w:r>
            <w:r w:rsidR="000B4CFF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por </w:t>
            </w:r>
            <w:r w:rsidR="00451DC9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41,5 </w:t>
            </w:r>
            <w:r w:rsidR="009331E5">
              <w:rPr>
                <w:rFonts w:ascii="Verdana" w:hAnsi="Verdana"/>
                <w:iCs/>
                <w:sz w:val="20"/>
                <w:szCs w:val="20"/>
                <w:lang w:val="es-ES"/>
              </w:rPr>
              <w:t>millones,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CB005B">
              <w:rPr>
                <w:rFonts w:ascii="Verdana" w:hAnsi="Verdana"/>
                <w:iCs/>
                <w:sz w:val="20"/>
                <w:szCs w:val="20"/>
                <w:lang w:val="es-ES"/>
              </w:rPr>
              <w:t>se cumplió la meta.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</w:p>
          <w:p w14:paraId="7D73C02C" w14:textId="065C3E12" w:rsidR="0073047C" w:rsidRDefault="00874665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331E5" w:rsidRPr="00EF2BB4">
              <w:rPr>
                <w:rFonts w:ascii="Verdana" w:hAnsi="Verdana"/>
                <w:iCs/>
                <w:sz w:val="20"/>
                <w:szCs w:val="20"/>
                <w:lang w:val="es-ES"/>
              </w:rPr>
              <w:t>2</w:t>
            </w:r>
            <w:r w:rsidR="00A67EEC" w:rsidRPr="00EF2BB4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) </w:t>
            </w:r>
            <w:r w:rsidR="000A0797" w:rsidRPr="00EF2BB4">
              <w:rPr>
                <w:rFonts w:ascii="Verdana" w:hAnsi="Verdana" w:cs="Arial"/>
                <w:sz w:val="20"/>
                <w:szCs w:val="20"/>
              </w:rPr>
              <w:t>Déficit</w:t>
            </w:r>
            <w:r w:rsidRPr="00EF2BB4">
              <w:rPr>
                <w:rFonts w:ascii="Verdana" w:hAnsi="Verdana" w:cs="Arial"/>
                <w:sz w:val="20"/>
                <w:szCs w:val="20"/>
              </w:rPr>
              <w:t xml:space="preserve"> en adquisición de bienes y servicios por </w:t>
            </w:r>
            <w:r w:rsidR="00451DC9">
              <w:rPr>
                <w:rFonts w:ascii="Verdana" w:hAnsi="Verdana" w:cs="Arial"/>
                <w:sz w:val="20"/>
                <w:szCs w:val="20"/>
              </w:rPr>
              <w:t>119</w:t>
            </w:r>
            <w:r w:rsidR="00021462">
              <w:rPr>
                <w:rFonts w:ascii="Verdana" w:hAnsi="Verdana" w:cs="Arial"/>
                <w:sz w:val="20"/>
                <w:szCs w:val="20"/>
              </w:rPr>
              <w:t>,</w:t>
            </w:r>
            <w:r w:rsidR="00451DC9">
              <w:rPr>
                <w:rFonts w:ascii="Verdana" w:hAnsi="Verdana" w:cs="Arial"/>
                <w:sz w:val="20"/>
                <w:szCs w:val="20"/>
              </w:rPr>
              <w:t>7</w:t>
            </w:r>
            <w:r w:rsidRPr="00EF2BB4">
              <w:rPr>
                <w:rFonts w:ascii="Verdana" w:hAnsi="Verdana" w:cs="Arial"/>
                <w:sz w:val="20"/>
                <w:szCs w:val="20"/>
              </w:rPr>
              <w:t xml:space="preserve"> millones,</w:t>
            </w:r>
            <w:r w:rsidR="00956B77" w:rsidRPr="00EF2BB4">
              <w:rPr>
                <w:rFonts w:ascii="Verdana" w:hAnsi="Verdana" w:cs="Arial"/>
                <w:sz w:val="20"/>
                <w:szCs w:val="20"/>
              </w:rPr>
              <w:t xml:space="preserve"> debido a</w:t>
            </w:r>
            <w:r w:rsidR="00CB005B" w:rsidRPr="00EF2BB4">
              <w:rPr>
                <w:rFonts w:ascii="Verdana" w:hAnsi="Verdana" w:cs="Arial"/>
                <w:sz w:val="20"/>
                <w:szCs w:val="20"/>
              </w:rPr>
              <w:t xml:space="preserve"> que</w:t>
            </w:r>
            <w:r w:rsidR="00956B77" w:rsidRPr="00EF2BB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B005B" w:rsidRPr="00EF2BB4">
              <w:rPr>
                <w:rFonts w:ascii="Verdana" w:hAnsi="Verdana" w:cs="Arial"/>
                <w:sz w:val="20"/>
                <w:szCs w:val="20"/>
              </w:rPr>
              <w:t>no se realiz</w:t>
            </w:r>
            <w:r w:rsidR="0073047C" w:rsidRPr="00EF2BB4">
              <w:rPr>
                <w:rFonts w:ascii="Verdana" w:hAnsi="Verdana" w:cs="Arial"/>
                <w:sz w:val="20"/>
                <w:szCs w:val="20"/>
              </w:rPr>
              <w:t>aron algunas contrat</w:t>
            </w:r>
            <w:r w:rsidR="0068206C">
              <w:rPr>
                <w:rFonts w:ascii="Verdana" w:hAnsi="Verdana" w:cs="Arial"/>
                <w:sz w:val="20"/>
                <w:szCs w:val="20"/>
              </w:rPr>
              <w:t xml:space="preserve">aciones </w:t>
            </w:r>
            <w:r w:rsidR="009D1510">
              <w:rPr>
                <w:rFonts w:ascii="Verdana" w:hAnsi="Verdana" w:cs="Arial"/>
                <w:sz w:val="20"/>
                <w:szCs w:val="20"/>
              </w:rPr>
              <w:t xml:space="preserve">durante la vigencia </w:t>
            </w:r>
            <w:r w:rsidR="0068206C">
              <w:rPr>
                <w:rFonts w:ascii="Verdana" w:hAnsi="Verdana" w:cs="Arial"/>
                <w:sz w:val="20"/>
                <w:szCs w:val="20"/>
              </w:rPr>
              <w:t>en algunos rubros de adquisición de servicios como la compra de papelería</w:t>
            </w:r>
            <w:r w:rsidR="007D4BD3">
              <w:rPr>
                <w:rFonts w:ascii="Verdana" w:hAnsi="Verdana" w:cs="Arial"/>
                <w:sz w:val="20"/>
                <w:szCs w:val="20"/>
              </w:rPr>
              <w:t>, Adquisición de servicios para el área de comunicaciones,</w:t>
            </w:r>
            <w:r w:rsidR="0068206C">
              <w:rPr>
                <w:rFonts w:ascii="Verdana" w:hAnsi="Verdana" w:cs="Arial"/>
                <w:sz w:val="20"/>
                <w:szCs w:val="20"/>
              </w:rPr>
              <w:t xml:space="preserve"> no se comprometi</w:t>
            </w:r>
            <w:r w:rsidR="007D4BD3">
              <w:rPr>
                <w:rFonts w:ascii="Verdana" w:hAnsi="Verdana" w:cs="Arial"/>
                <w:sz w:val="20"/>
                <w:szCs w:val="20"/>
              </w:rPr>
              <w:t>eron</w:t>
            </w:r>
            <w:r w:rsidR="0068206C">
              <w:rPr>
                <w:rFonts w:ascii="Verdana" w:hAnsi="Verdana" w:cs="Arial"/>
                <w:sz w:val="20"/>
                <w:szCs w:val="20"/>
              </w:rPr>
              <w:t xml:space="preserve"> debido a la situación sanitaria que presenta en estos momentos el país.</w:t>
            </w:r>
          </w:p>
          <w:p w14:paraId="36C27484" w14:textId="566F943F" w:rsidR="00CB005B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 w:rsidR="0068206C">
              <w:rPr>
                <w:rFonts w:ascii="Verdana" w:hAnsi="Verdana" w:cs="Arial"/>
                <w:sz w:val="20"/>
                <w:szCs w:val="20"/>
              </w:rPr>
              <w:t>Superávit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en </w:t>
            </w:r>
            <w:r w:rsidR="00470F59" w:rsidRPr="009C75C1">
              <w:rPr>
                <w:rFonts w:ascii="Verdana" w:hAnsi="Verdana" w:cs="Arial"/>
                <w:sz w:val="20"/>
                <w:szCs w:val="20"/>
              </w:rPr>
              <w:t>la</w:t>
            </w:r>
            <w:r w:rsidR="00470F5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F59" w:rsidRPr="009C75C1">
              <w:rPr>
                <w:rFonts w:ascii="Verdana" w:hAnsi="Verdana" w:cs="Arial"/>
                <w:sz w:val="20"/>
                <w:szCs w:val="20"/>
              </w:rPr>
              <w:t>ejecución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 de transferencias corrientes por </w:t>
            </w:r>
            <w:r w:rsidR="001E1189">
              <w:rPr>
                <w:rFonts w:ascii="Verdana" w:hAnsi="Verdana" w:cs="Arial"/>
                <w:sz w:val="20"/>
                <w:szCs w:val="20"/>
              </w:rPr>
              <w:t>1.628,5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 millones, discriminado así: i) </w:t>
            </w:r>
            <w:r w:rsidR="009E2C85">
              <w:rPr>
                <w:rFonts w:ascii="Verdana" w:hAnsi="Verdana" w:cs="Arial"/>
                <w:sz w:val="20"/>
                <w:szCs w:val="20"/>
              </w:rPr>
              <w:t>Superávit</w:t>
            </w:r>
            <w:r w:rsidR="00470513" w:rsidRPr="0049603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1E1189">
              <w:rPr>
                <w:rFonts w:ascii="Verdana" w:hAnsi="Verdana" w:cs="Arial"/>
                <w:sz w:val="20"/>
                <w:szCs w:val="20"/>
              </w:rPr>
              <w:t>1.674.6</w:t>
            </w:r>
            <w:r w:rsidR="009E2C85">
              <w:rPr>
                <w:rFonts w:ascii="Verdana" w:hAnsi="Verdana" w:cs="Arial"/>
                <w:sz w:val="20"/>
                <w:szCs w:val="20"/>
              </w:rPr>
              <w:t>,</w:t>
            </w:r>
            <w:r w:rsidR="0049188E">
              <w:rPr>
                <w:rFonts w:ascii="Verdana" w:hAnsi="Verdana" w:cs="Arial"/>
                <w:sz w:val="20"/>
                <w:szCs w:val="20"/>
              </w:rPr>
              <w:t>7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millones</w:t>
            </w:r>
            <w:r w:rsidR="00470513" w:rsidRPr="003C7488">
              <w:rPr>
                <w:rFonts w:ascii="Verdana" w:hAnsi="Verdana" w:cs="Arial"/>
                <w:sz w:val="20"/>
                <w:szCs w:val="20"/>
              </w:rPr>
              <w:t xml:space="preserve"> de recursos provenientes del </w:t>
            </w:r>
            <w:r w:rsidR="004E2C60" w:rsidRPr="003C7488">
              <w:rPr>
                <w:rFonts w:ascii="Verdana" w:hAnsi="Verdana" w:cs="Arial"/>
                <w:sz w:val="20"/>
                <w:szCs w:val="20"/>
              </w:rPr>
              <w:t>FOCAI,</w:t>
            </w:r>
            <w:r w:rsidR="001E1189">
              <w:rPr>
                <w:rFonts w:ascii="Verdana" w:hAnsi="Verdana" w:cs="Arial"/>
                <w:sz w:val="20"/>
                <w:szCs w:val="20"/>
              </w:rPr>
              <w:t xml:space="preserve"> se cumplió la meta propuesta </w:t>
            </w:r>
            <w:r w:rsidR="009E2C85">
              <w:rPr>
                <w:rFonts w:ascii="Verdana" w:hAnsi="Verdana" w:cs="Arial"/>
                <w:sz w:val="20"/>
                <w:szCs w:val="20"/>
              </w:rPr>
              <w:t>ii</w:t>
            </w:r>
            <w:r w:rsidR="00470513" w:rsidRPr="0049603A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se presentó </w:t>
            </w:r>
            <w:r w:rsidR="00F2219E">
              <w:rPr>
                <w:rFonts w:ascii="Verdana" w:hAnsi="Verdana" w:cs="Arial"/>
                <w:sz w:val="20"/>
                <w:szCs w:val="20"/>
              </w:rPr>
              <w:t>déficit</w:t>
            </w:r>
            <w:r w:rsidR="009E2C85">
              <w:rPr>
                <w:rFonts w:ascii="Verdana" w:hAnsi="Verdana" w:cs="Arial"/>
                <w:sz w:val="20"/>
                <w:szCs w:val="20"/>
              </w:rPr>
              <w:t xml:space="preserve"> de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E1189">
              <w:rPr>
                <w:rFonts w:ascii="Verdana" w:hAnsi="Verdana" w:cs="Arial"/>
                <w:sz w:val="20"/>
                <w:szCs w:val="20"/>
              </w:rPr>
              <w:t>45</w:t>
            </w:r>
            <w:r w:rsidR="003C6BE9">
              <w:rPr>
                <w:rFonts w:ascii="Verdana" w:hAnsi="Verdana" w:cs="Arial"/>
                <w:sz w:val="20"/>
                <w:szCs w:val="20"/>
              </w:rPr>
              <w:t>,</w:t>
            </w:r>
            <w:r w:rsidR="0049188E">
              <w:rPr>
                <w:rFonts w:ascii="Verdana" w:hAnsi="Verdana" w:cs="Arial"/>
                <w:sz w:val="20"/>
                <w:szCs w:val="20"/>
              </w:rPr>
              <w:t>8 millones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 de</w:t>
            </w:r>
            <w:r w:rsidR="009E3D48">
              <w:rPr>
                <w:rFonts w:ascii="Verdana" w:hAnsi="Verdana" w:cs="Arial"/>
                <w:sz w:val="20"/>
                <w:szCs w:val="20"/>
              </w:rPr>
              <w:t>l rubro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de incapacidades y licencias de maternidad</w:t>
            </w:r>
            <w:r w:rsidR="00D9392B">
              <w:rPr>
                <w:rFonts w:ascii="Verdana" w:hAnsi="Verdana" w:cs="Arial"/>
                <w:sz w:val="20"/>
                <w:szCs w:val="20"/>
              </w:rPr>
              <w:t>,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C6BE9">
              <w:rPr>
                <w:rFonts w:ascii="Verdana" w:hAnsi="Verdana" w:cs="Arial"/>
                <w:sz w:val="20"/>
                <w:szCs w:val="20"/>
              </w:rPr>
              <w:t>debido a que</w:t>
            </w:r>
            <w:r w:rsidR="009E3D4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513">
              <w:rPr>
                <w:rFonts w:ascii="Verdana" w:hAnsi="Verdana" w:cs="Arial"/>
                <w:sz w:val="20"/>
                <w:szCs w:val="20"/>
              </w:rPr>
              <w:t>este rubro</w:t>
            </w:r>
            <w:r w:rsidR="009E3D4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2C85">
              <w:rPr>
                <w:rFonts w:ascii="Verdana" w:hAnsi="Verdana" w:cs="Arial"/>
                <w:sz w:val="20"/>
                <w:szCs w:val="20"/>
              </w:rPr>
              <w:t>es variable</w:t>
            </w:r>
            <w:r w:rsidR="00470513" w:rsidRPr="00F14E61">
              <w:rPr>
                <w:rFonts w:ascii="Verdana" w:hAnsi="Verdana" w:cs="Arial"/>
                <w:sz w:val="20"/>
                <w:szCs w:val="20"/>
              </w:rPr>
              <w:t xml:space="preserve"> según las incapacidades y licencias que radican el talento humano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CFCCE08" w14:textId="77777777" w:rsidR="00CB005B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BAE0ACC" w14:textId="5D4C5BF8" w:rsidR="001E1189" w:rsidRDefault="00A67EEC" w:rsidP="007A2CB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457C4">
              <w:rPr>
                <w:rFonts w:ascii="Verdana" w:hAnsi="Verdana"/>
                <w:b/>
                <w:sz w:val="20"/>
                <w:szCs w:val="20"/>
                <w:u w:val="single"/>
              </w:rPr>
              <w:t>Gastos de inversión:</w:t>
            </w:r>
            <w:r w:rsidRPr="00E457C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1B66" w:rsidRPr="00E457C4">
              <w:rPr>
                <w:rFonts w:ascii="Verdana" w:hAnsi="Verdana"/>
                <w:sz w:val="20"/>
                <w:szCs w:val="20"/>
              </w:rPr>
              <w:t xml:space="preserve">La ejecución en inversión tiene déficit de </w:t>
            </w:r>
            <w:r w:rsidR="001E1189">
              <w:rPr>
                <w:rFonts w:ascii="Verdana" w:hAnsi="Verdana"/>
                <w:sz w:val="20"/>
                <w:szCs w:val="20"/>
              </w:rPr>
              <w:t>18.622,8</w:t>
            </w:r>
            <w:r w:rsidR="00BD1B66" w:rsidRPr="00E457C4">
              <w:rPr>
                <w:rFonts w:ascii="Verdana" w:hAnsi="Verdana"/>
                <w:sz w:val="20"/>
                <w:szCs w:val="20"/>
              </w:rPr>
              <w:t xml:space="preserve"> millones debido a </w:t>
            </w:r>
            <w:r w:rsidR="00847A9C">
              <w:rPr>
                <w:rFonts w:ascii="Verdana" w:hAnsi="Verdana"/>
                <w:sz w:val="20"/>
                <w:szCs w:val="20"/>
              </w:rPr>
              <w:t>que estos recursos</w:t>
            </w:r>
            <w:r w:rsidR="001E118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E1189" w:rsidRPr="001E1189">
              <w:rPr>
                <w:rFonts w:ascii="Verdana" w:hAnsi="Verdana"/>
                <w:sz w:val="20"/>
                <w:szCs w:val="20"/>
              </w:rPr>
              <w:t>corresponden a la donación realizada por el gobierno de Japón  y en el canje de notas se estipula</w:t>
            </w:r>
            <w:r w:rsidR="00847A9C">
              <w:rPr>
                <w:rFonts w:ascii="Verdana" w:hAnsi="Verdana"/>
                <w:sz w:val="20"/>
                <w:szCs w:val="20"/>
              </w:rPr>
              <w:t>ba</w:t>
            </w:r>
            <w:r w:rsidR="001E1189" w:rsidRPr="001E1189">
              <w:rPr>
                <w:rFonts w:ascii="Verdana" w:hAnsi="Verdana"/>
                <w:sz w:val="20"/>
                <w:szCs w:val="20"/>
              </w:rPr>
              <w:t xml:space="preserve"> que se debía realizar UN CONTRATO CON JI</w:t>
            </w:r>
            <w:r w:rsidR="001E1189">
              <w:rPr>
                <w:rFonts w:ascii="Verdana" w:hAnsi="Verdana"/>
                <w:sz w:val="20"/>
                <w:szCs w:val="20"/>
              </w:rPr>
              <w:t>C</w:t>
            </w:r>
            <w:r w:rsidR="001E1189" w:rsidRPr="001E1189">
              <w:rPr>
                <w:rFonts w:ascii="Verdana" w:hAnsi="Verdana"/>
                <w:sz w:val="20"/>
                <w:szCs w:val="20"/>
              </w:rPr>
              <w:t xml:space="preserve">S </w:t>
            </w:r>
            <w:r w:rsidR="001E1189">
              <w:rPr>
                <w:rFonts w:ascii="Verdana" w:hAnsi="Verdana"/>
                <w:sz w:val="20"/>
                <w:szCs w:val="20"/>
              </w:rPr>
              <w:t>como agente; APC</w:t>
            </w:r>
            <w:r w:rsidR="001E1189" w:rsidRPr="001E1189">
              <w:rPr>
                <w:rFonts w:ascii="Verdana" w:hAnsi="Verdana"/>
                <w:sz w:val="20"/>
                <w:szCs w:val="20"/>
              </w:rPr>
              <w:t>-</w:t>
            </w:r>
            <w:r w:rsidR="001E1189" w:rsidRPr="001E1189">
              <w:rPr>
                <w:rFonts w:ascii="Verdana" w:hAnsi="Verdana"/>
                <w:sz w:val="20"/>
                <w:szCs w:val="20"/>
              </w:rPr>
              <w:lastRenderedPageBreak/>
              <w:t>Colombia no acepto 3 cláusulas que estipulaba dicho contrato y por lo tanto no se ha podido llegar a ningún acuerdo con JI</w:t>
            </w:r>
            <w:r w:rsidR="001E1189">
              <w:rPr>
                <w:rFonts w:ascii="Verdana" w:hAnsi="Verdana"/>
                <w:sz w:val="20"/>
                <w:szCs w:val="20"/>
              </w:rPr>
              <w:t>C</w:t>
            </w:r>
            <w:r w:rsidR="001E1189" w:rsidRPr="001E1189">
              <w:rPr>
                <w:rFonts w:ascii="Verdana" w:hAnsi="Verdana"/>
                <w:sz w:val="20"/>
                <w:szCs w:val="20"/>
              </w:rPr>
              <w:t xml:space="preserve">S para la firma del contrato , el Ministerio de salud y </w:t>
            </w:r>
            <w:r w:rsidR="001E1189">
              <w:rPr>
                <w:rFonts w:ascii="Verdana" w:hAnsi="Verdana"/>
                <w:sz w:val="20"/>
                <w:szCs w:val="20"/>
              </w:rPr>
              <w:t>APC</w:t>
            </w:r>
            <w:r w:rsidR="001E1189" w:rsidRPr="001E1189">
              <w:rPr>
                <w:rFonts w:ascii="Verdana" w:hAnsi="Verdana"/>
                <w:sz w:val="20"/>
                <w:szCs w:val="20"/>
              </w:rPr>
              <w:t xml:space="preserve"> enviaron una comunicación a la Cancillería donde se le informaba dichos desacuerdos y la </w:t>
            </w:r>
            <w:r w:rsidR="001E1189">
              <w:rPr>
                <w:rFonts w:ascii="Verdana" w:hAnsi="Verdana"/>
                <w:sz w:val="20"/>
                <w:szCs w:val="20"/>
              </w:rPr>
              <w:t>esta</w:t>
            </w:r>
            <w:r w:rsidR="001E1189" w:rsidRPr="001E1189">
              <w:rPr>
                <w:rFonts w:ascii="Verdana" w:hAnsi="Verdana"/>
                <w:sz w:val="20"/>
                <w:szCs w:val="20"/>
              </w:rPr>
              <w:t xml:space="preserve"> le comunico a la Cancillería de Japón que con esas cláusulas no se firmara dicho acuerdo y se espera la respuesta por parte del Gobierno de Japón.</w:t>
            </w:r>
          </w:p>
          <w:p w14:paraId="499F1017" w14:textId="77777777" w:rsidR="00E457C4" w:rsidRPr="00E457C4" w:rsidRDefault="00E457C4" w:rsidP="00E457C4">
            <w:pPr>
              <w:pStyle w:val="Prrafodelista"/>
              <w:ind w:left="435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430105" w14:textId="1C433756" w:rsidR="00464CE7" w:rsidRPr="00ED6E49" w:rsidRDefault="00E279ED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536BA">
              <w:rPr>
                <w:rFonts w:ascii="Verdana" w:hAnsi="Verdana"/>
                <w:sz w:val="20"/>
              </w:rPr>
              <w:t xml:space="preserve">El </w:t>
            </w:r>
            <w:r w:rsidR="00CA39B4">
              <w:rPr>
                <w:rFonts w:ascii="Verdana" w:hAnsi="Verdana"/>
                <w:sz w:val="20"/>
              </w:rPr>
              <w:t>98,29</w:t>
            </w:r>
            <w:r w:rsidRPr="004536BA">
              <w:rPr>
                <w:rFonts w:ascii="Verdana" w:hAnsi="Verdana"/>
                <w:sz w:val="20"/>
              </w:rPr>
              <w:t xml:space="preserve">% de la ejecución corresponde a los gastos de funcionamiento y el </w:t>
            </w:r>
            <w:r w:rsidR="00847A9C">
              <w:rPr>
                <w:rFonts w:ascii="Verdana" w:hAnsi="Verdana"/>
                <w:sz w:val="20"/>
              </w:rPr>
              <w:t>44,75</w:t>
            </w:r>
            <w:r w:rsidRPr="004536BA">
              <w:rPr>
                <w:rFonts w:ascii="Verdana" w:hAnsi="Verdana"/>
                <w:sz w:val="20"/>
              </w:rPr>
              <w:t>% a los gastos de inversión.</w:t>
            </w:r>
          </w:p>
          <w:p w14:paraId="2B8AE5A6" w14:textId="77777777" w:rsidR="00E279ED" w:rsidRPr="00ED6E49" w:rsidRDefault="00E279ED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98DA10" w14:textId="77777777" w:rsidR="00A67EEC" w:rsidRPr="00181E6C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81E6C">
              <w:rPr>
                <w:rFonts w:ascii="Verdana" w:hAnsi="Verdana"/>
                <w:sz w:val="20"/>
                <w:szCs w:val="20"/>
              </w:rPr>
              <w:t xml:space="preserve">La ejecución de los gastos de funcionamiento estuvo distribuida de la siguiente manera: </w:t>
            </w:r>
          </w:p>
          <w:p w14:paraId="24F2599A" w14:textId="77777777" w:rsidR="00A67EEC" w:rsidRPr="0053199E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00642EDC" w14:textId="4CBD19CF" w:rsidR="00A2238C" w:rsidRPr="000139BE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39BE">
              <w:rPr>
                <w:rFonts w:ascii="Verdana" w:hAnsi="Verdana" w:cs="Arial"/>
                <w:sz w:val="20"/>
                <w:szCs w:val="20"/>
              </w:rPr>
              <w:t xml:space="preserve">1) Los gastos de personal representan el </w:t>
            </w:r>
            <w:r w:rsidR="00B468A1">
              <w:rPr>
                <w:rFonts w:ascii="Verdana" w:hAnsi="Verdana" w:cs="Arial"/>
                <w:sz w:val="20"/>
                <w:szCs w:val="20"/>
              </w:rPr>
              <w:t>34,07</w:t>
            </w:r>
            <w:r w:rsidRPr="000139BE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1E664D18" w14:textId="178B4175" w:rsidR="00A2238C" w:rsidRPr="000139BE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39BE">
              <w:rPr>
                <w:rFonts w:ascii="Verdana" w:hAnsi="Verdana" w:cs="Arial"/>
                <w:sz w:val="20"/>
                <w:szCs w:val="20"/>
              </w:rPr>
              <w:t xml:space="preserve">2) Los gastos por adquisición de bienes y servicios representan el </w:t>
            </w:r>
            <w:r w:rsidR="00D61838">
              <w:rPr>
                <w:rFonts w:ascii="Verdana" w:hAnsi="Verdana" w:cs="Arial"/>
                <w:sz w:val="20"/>
                <w:szCs w:val="20"/>
              </w:rPr>
              <w:t>1</w:t>
            </w:r>
            <w:r w:rsidR="004536BA">
              <w:rPr>
                <w:rFonts w:ascii="Verdana" w:hAnsi="Verdana" w:cs="Arial"/>
                <w:sz w:val="20"/>
                <w:szCs w:val="20"/>
              </w:rPr>
              <w:t>2</w:t>
            </w:r>
            <w:r w:rsidR="00D61838">
              <w:rPr>
                <w:rFonts w:ascii="Verdana" w:hAnsi="Verdana" w:cs="Arial"/>
                <w:sz w:val="20"/>
                <w:szCs w:val="20"/>
              </w:rPr>
              <w:t>,</w:t>
            </w:r>
            <w:r w:rsidR="00B468A1">
              <w:rPr>
                <w:rFonts w:ascii="Verdana" w:hAnsi="Verdana" w:cs="Arial"/>
                <w:sz w:val="20"/>
                <w:szCs w:val="20"/>
              </w:rPr>
              <w:t>15</w:t>
            </w:r>
            <w:r w:rsidRPr="000139BE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55A85AC6" w14:textId="21448CF6" w:rsidR="00A2238C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3)</w:t>
            </w:r>
            <w:r w:rsidRPr="000139BE">
              <w:rPr>
                <w:rFonts w:ascii="Verdana" w:hAnsi="Verdana" w:cs="Arial"/>
                <w:sz w:val="20"/>
                <w:szCs w:val="20"/>
              </w:rPr>
              <w:t xml:space="preserve"> Los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 gastos de transferencias corrientes representan el </w:t>
            </w:r>
            <w:r w:rsidR="00B468A1">
              <w:rPr>
                <w:rFonts w:ascii="Verdana" w:hAnsi="Verdana" w:cs="Arial"/>
                <w:sz w:val="20"/>
                <w:szCs w:val="20"/>
              </w:rPr>
              <w:t>53,08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B468A1">
              <w:rPr>
                <w:rFonts w:ascii="Verdana" w:hAnsi="Verdana" w:cs="Arial"/>
                <w:sz w:val="20"/>
                <w:szCs w:val="20"/>
              </w:rPr>
              <w:t>52,99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0,</w:t>
            </w:r>
            <w:r w:rsidR="00B468A1">
              <w:rPr>
                <w:rFonts w:ascii="Verdana" w:hAnsi="Verdana" w:cs="Arial"/>
                <w:sz w:val="20"/>
                <w:szCs w:val="20"/>
              </w:rPr>
              <w:t>10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>% a Incapacidades y Licencias de maternidad y paternidad.</w:t>
            </w:r>
          </w:p>
          <w:p w14:paraId="36AF49FA" w14:textId="5E7701A9" w:rsidR="0012189C" w:rsidRPr="000139BE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Los gastos </w:t>
            </w:r>
            <w:r w:rsidRPr="0012189C">
              <w:rPr>
                <w:rFonts w:ascii="Verdana" w:hAnsi="Verdana" w:cs="Arial"/>
                <w:sz w:val="20"/>
                <w:szCs w:val="20"/>
              </w:rPr>
              <w:t>por tributos, multas, sanciones e intereses de mora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presentan el 0,</w:t>
            </w:r>
            <w:r w:rsidR="00B468A1">
              <w:rPr>
                <w:rFonts w:ascii="Verdana" w:hAnsi="Verdana" w:cs="Arial"/>
                <w:sz w:val="20"/>
                <w:szCs w:val="20"/>
              </w:rPr>
              <w:t>70</w:t>
            </w:r>
            <w:r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7DB5D2CF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7ABAB455" w14:textId="55A61175" w:rsidR="00E1676C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176DD">
              <w:rPr>
                <w:rFonts w:ascii="Verdana" w:hAnsi="Verdana"/>
                <w:sz w:val="20"/>
                <w:szCs w:val="20"/>
              </w:rPr>
              <w:t>La ejecución de los gastos de inversión estuvo distribuida así:</w:t>
            </w:r>
          </w:p>
          <w:p w14:paraId="5EF89868" w14:textId="77777777" w:rsidR="00E1676C" w:rsidRDefault="00E1676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3654AFB" w14:textId="6DCB380C" w:rsidR="00A67EEC" w:rsidRPr="00E1676C" w:rsidRDefault="00E1676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Contrapartidas Nacional con el </w:t>
            </w:r>
            <w:r w:rsidR="004536BA">
              <w:rPr>
                <w:rFonts w:ascii="Verdana" w:hAnsi="Verdana"/>
                <w:sz w:val="20"/>
                <w:szCs w:val="20"/>
              </w:rPr>
              <w:t>12</w:t>
            </w:r>
            <w:r w:rsidR="00D61838">
              <w:rPr>
                <w:rFonts w:ascii="Verdana" w:hAnsi="Verdana"/>
                <w:sz w:val="20"/>
                <w:szCs w:val="20"/>
              </w:rPr>
              <w:t>,</w:t>
            </w:r>
            <w:r w:rsidR="004536BA">
              <w:rPr>
                <w:rFonts w:ascii="Verdana" w:hAnsi="Verdana"/>
                <w:sz w:val="20"/>
                <w:szCs w:val="20"/>
              </w:rPr>
              <w:t>7</w:t>
            </w:r>
            <w:r w:rsidR="00B468A1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% de la ejecución en </w:t>
            </w:r>
            <w:r w:rsidR="00E75D5F">
              <w:rPr>
                <w:rFonts w:ascii="Verdana" w:hAnsi="Verdana"/>
                <w:sz w:val="20"/>
                <w:szCs w:val="20"/>
              </w:rPr>
              <w:t>inversión, equivalente</w:t>
            </w:r>
            <w:r>
              <w:rPr>
                <w:rFonts w:ascii="Verdana" w:hAnsi="Verdana"/>
                <w:sz w:val="20"/>
                <w:szCs w:val="20"/>
              </w:rPr>
              <w:t xml:space="preserve"> a 1.</w:t>
            </w:r>
            <w:r w:rsidR="004536BA">
              <w:rPr>
                <w:rFonts w:ascii="Verdana" w:hAnsi="Verdana"/>
                <w:sz w:val="20"/>
                <w:szCs w:val="20"/>
              </w:rPr>
              <w:t>925,</w:t>
            </w:r>
            <w:r>
              <w:rPr>
                <w:rFonts w:ascii="Verdana" w:hAnsi="Verdana"/>
                <w:sz w:val="20"/>
                <w:szCs w:val="20"/>
              </w:rPr>
              <w:t xml:space="preserve">3 millones para el convenio con </w:t>
            </w:r>
            <w:r w:rsidRPr="00E1676C">
              <w:rPr>
                <w:rFonts w:ascii="Verdana" w:hAnsi="Verdana"/>
                <w:sz w:val="20"/>
                <w:szCs w:val="20"/>
              </w:rPr>
              <w:t xml:space="preserve">Corporación Parque tecnológico De innovación Del café Y Su </w:t>
            </w:r>
            <w:r w:rsidR="00246760" w:rsidRPr="00E1676C">
              <w:rPr>
                <w:rFonts w:ascii="Verdana" w:hAnsi="Verdana"/>
                <w:sz w:val="20"/>
                <w:szCs w:val="20"/>
              </w:rPr>
              <w:t>Caficultura</w:t>
            </w:r>
            <w:r w:rsidR="00246760" w:rsidRPr="00B176D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Convenio con </w:t>
            </w:r>
            <w:r w:rsidRPr="00E1676C">
              <w:rPr>
                <w:rFonts w:ascii="Verdana" w:hAnsi="Verdana"/>
                <w:sz w:val="20"/>
                <w:szCs w:val="20"/>
              </w:rPr>
              <w:t>Federación Campesina Del Cauca F.C.C</w:t>
            </w:r>
            <w:r w:rsidR="004536BA">
              <w:rPr>
                <w:rFonts w:ascii="Verdana" w:hAnsi="Verdana"/>
                <w:sz w:val="20"/>
                <w:szCs w:val="20"/>
              </w:rPr>
              <w:t>, C</w:t>
            </w:r>
            <w:r>
              <w:rPr>
                <w:rFonts w:ascii="Verdana" w:hAnsi="Verdana"/>
                <w:sz w:val="20"/>
                <w:szCs w:val="20"/>
              </w:rPr>
              <w:t xml:space="preserve">onvenio con </w:t>
            </w:r>
            <w:r w:rsidRPr="00E1676C">
              <w:rPr>
                <w:rFonts w:ascii="Verdana" w:hAnsi="Verdana"/>
                <w:sz w:val="20"/>
                <w:szCs w:val="20"/>
              </w:rPr>
              <w:t>Fondo Para La acción Ambiental Y La Niñez</w:t>
            </w:r>
            <w:r>
              <w:rPr>
                <w:rFonts w:ascii="Verdana" w:hAnsi="Verdana"/>
                <w:sz w:val="20"/>
                <w:szCs w:val="20"/>
              </w:rPr>
              <w:t xml:space="preserve">, convenio Con La </w:t>
            </w:r>
            <w:r w:rsidRPr="00E1676C">
              <w:rPr>
                <w:rFonts w:ascii="Verdana" w:hAnsi="Verdana"/>
                <w:sz w:val="20"/>
                <w:szCs w:val="20"/>
              </w:rPr>
              <w:t>Fundación Corona</w:t>
            </w:r>
            <w:r>
              <w:rPr>
                <w:rFonts w:ascii="Verdana" w:hAnsi="Verdana"/>
                <w:sz w:val="20"/>
                <w:szCs w:val="20"/>
              </w:rPr>
              <w:t xml:space="preserve">, convenio con INFIVALLE y convenio con </w:t>
            </w:r>
            <w:r w:rsidRPr="00E1676C">
              <w:rPr>
                <w:rFonts w:ascii="Verdana" w:hAnsi="Verdana"/>
                <w:sz w:val="20"/>
                <w:szCs w:val="20"/>
              </w:rPr>
              <w:t xml:space="preserve">International </w:t>
            </w:r>
            <w:r w:rsidR="00A13924" w:rsidRPr="00E1676C">
              <w:rPr>
                <w:rFonts w:ascii="Verdana" w:hAnsi="Verdana"/>
                <w:sz w:val="20"/>
                <w:szCs w:val="20"/>
              </w:rPr>
              <w:t>Recuse</w:t>
            </w:r>
            <w:r w:rsidRPr="00E1676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13924" w:rsidRPr="00E1676C">
              <w:rPr>
                <w:rFonts w:ascii="Verdana" w:hAnsi="Verdana"/>
                <w:sz w:val="20"/>
                <w:szCs w:val="20"/>
              </w:rPr>
              <w:t>Comité</w:t>
            </w:r>
            <w:r w:rsidRPr="00E1676C">
              <w:rPr>
                <w:rFonts w:ascii="Verdana" w:hAnsi="Verdana"/>
                <w:sz w:val="20"/>
                <w:szCs w:val="20"/>
              </w:rPr>
              <w:t xml:space="preserve"> Comité Internacional De Rescate, </w:t>
            </w:r>
            <w:r w:rsidR="004536BA">
              <w:rPr>
                <w:rFonts w:ascii="Verdana" w:hAnsi="Verdana"/>
                <w:sz w:val="20"/>
                <w:szCs w:val="20"/>
              </w:rPr>
              <w:t>INC,</w:t>
            </w:r>
          </w:p>
          <w:p w14:paraId="1FFA5BB9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629D8832" w14:textId="6FDBF334" w:rsidR="00A67EEC" w:rsidRPr="00B176DD" w:rsidRDefault="00E1676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  <w:r w:rsidR="00A67EEC" w:rsidRPr="00B176DD">
              <w:rPr>
                <w:rFonts w:ascii="Verdana" w:hAnsi="Verdana"/>
                <w:sz w:val="20"/>
                <w:szCs w:val="20"/>
              </w:rPr>
              <w:t xml:space="preserve">) Administración de Recursos de Cooperación con el </w:t>
            </w:r>
            <w:r w:rsidR="00B468A1">
              <w:rPr>
                <w:rFonts w:ascii="Verdana" w:hAnsi="Verdana"/>
                <w:sz w:val="20"/>
                <w:szCs w:val="20"/>
              </w:rPr>
              <w:t>82,81</w:t>
            </w:r>
            <w:r w:rsidR="00A67EEC" w:rsidRPr="00B176DD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4536BA">
              <w:rPr>
                <w:rFonts w:ascii="Verdana" w:hAnsi="Verdana"/>
                <w:sz w:val="20"/>
                <w:szCs w:val="20"/>
              </w:rPr>
              <w:t>12.</w:t>
            </w:r>
            <w:r w:rsidR="00B468A1">
              <w:rPr>
                <w:rFonts w:ascii="Verdana" w:hAnsi="Verdana"/>
                <w:sz w:val="20"/>
                <w:szCs w:val="20"/>
              </w:rPr>
              <w:t>497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4536BA">
              <w:rPr>
                <w:rFonts w:ascii="Verdana" w:hAnsi="Verdana"/>
                <w:sz w:val="20"/>
                <w:szCs w:val="20"/>
              </w:rPr>
              <w:t>5</w:t>
            </w:r>
            <w:r w:rsidR="00A67EEC" w:rsidRPr="00B176DD">
              <w:rPr>
                <w:rFonts w:ascii="Verdana" w:hAnsi="Verdana"/>
                <w:sz w:val="20"/>
                <w:szCs w:val="20"/>
              </w:rPr>
              <w:t xml:space="preserve"> millones, distribuidos así: </w:t>
            </w:r>
          </w:p>
          <w:p w14:paraId="507EC4A6" w14:textId="77777777" w:rsidR="00A67EEC" w:rsidRPr="00B176DD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A4AF005" w14:textId="36CC5260" w:rsidR="00EA37E9" w:rsidRPr="00EA37E9" w:rsidRDefault="00E1676C" w:rsidP="00AA61B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  <w:r w:rsidR="00B468A1">
              <w:rPr>
                <w:rFonts w:ascii="Verdana" w:hAnsi="Verdana"/>
                <w:sz w:val="20"/>
                <w:szCs w:val="20"/>
              </w:rPr>
              <w:t>021,5</w:t>
            </w:r>
            <w:r w:rsidR="00BA6542" w:rsidRPr="00EA37E9">
              <w:rPr>
                <w:rFonts w:ascii="Verdana" w:hAnsi="Verdana"/>
                <w:sz w:val="20"/>
                <w:szCs w:val="20"/>
              </w:rPr>
              <w:t xml:space="preserve"> mil</w:t>
            </w:r>
            <w:r w:rsidR="00EA37E9">
              <w:rPr>
                <w:rFonts w:ascii="Verdana" w:hAnsi="Verdana"/>
                <w:sz w:val="20"/>
                <w:szCs w:val="20"/>
              </w:rPr>
              <w:t>l</w:t>
            </w:r>
            <w:r w:rsidR="00BA6542" w:rsidRPr="00EA37E9">
              <w:rPr>
                <w:rFonts w:ascii="Verdana" w:hAnsi="Verdana"/>
                <w:sz w:val="20"/>
                <w:szCs w:val="20"/>
              </w:rPr>
              <w:t>ones por cuenta del proyecto</w:t>
            </w:r>
            <w:r w:rsidR="00EA37E9" w:rsidRPr="00EA37E9">
              <w:rPr>
                <w:rFonts w:ascii="Verdana" w:hAnsi="Verdana"/>
                <w:sz w:val="20"/>
                <w:szCs w:val="20"/>
              </w:rPr>
              <w:t>”</w:t>
            </w:r>
            <w:r w:rsidR="00EA37E9" w:rsidRPr="00EA37E9">
              <w:rPr>
                <w:rFonts w:ascii="Verdana" w:hAnsi="Verdana" w:cs="Arial"/>
                <w:sz w:val="20"/>
                <w:szCs w:val="20"/>
              </w:rPr>
              <w:t xml:space="preserve"> Estrategia regional de emprendimiento” financiado con recursos donados por la Unión Europea.</w:t>
            </w:r>
          </w:p>
          <w:p w14:paraId="17E6AFE2" w14:textId="28D956E9" w:rsidR="0098385D" w:rsidRDefault="00E1676C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  <w:r w:rsidR="00D61838">
              <w:rPr>
                <w:rFonts w:ascii="Verdana" w:hAnsi="Verdana"/>
                <w:sz w:val="20"/>
                <w:szCs w:val="20"/>
              </w:rPr>
              <w:t>2</w:t>
            </w:r>
            <w:r w:rsidR="00B468A1">
              <w:rPr>
                <w:rFonts w:ascii="Verdana" w:hAnsi="Verdana"/>
                <w:sz w:val="20"/>
                <w:szCs w:val="20"/>
              </w:rPr>
              <w:t>49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B468A1">
              <w:rPr>
                <w:rFonts w:ascii="Verdana" w:hAnsi="Verdana"/>
                <w:sz w:val="20"/>
                <w:szCs w:val="20"/>
              </w:rPr>
              <w:t>5</w:t>
            </w:r>
            <w:r w:rsidR="00D517D1" w:rsidRPr="0098385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67EEC" w:rsidRPr="0098385D">
              <w:rPr>
                <w:rFonts w:ascii="Verdana" w:hAnsi="Verdana"/>
                <w:sz w:val="20"/>
                <w:szCs w:val="20"/>
              </w:rPr>
              <w:t>millones por cuenta del proyecto de desminado terrestre en el marco del convenio de subvención firmado c</w:t>
            </w:r>
            <w:r w:rsidR="00EA3C52" w:rsidRPr="0098385D">
              <w:rPr>
                <w:rFonts w:ascii="Verdana" w:hAnsi="Verdana"/>
                <w:sz w:val="20"/>
                <w:szCs w:val="20"/>
              </w:rPr>
              <w:t xml:space="preserve">on la fundación Howard 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Buffet</w:t>
            </w:r>
            <w:r w:rsidR="00EA3C52" w:rsidRPr="0098385D">
              <w:rPr>
                <w:rFonts w:ascii="Verdana" w:hAnsi="Verdana"/>
                <w:sz w:val="20"/>
                <w:szCs w:val="20"/>
              </w:rPr>
              <w:t>.</w:t>
            </w:r>
          </w:p>
          <w:p w14:paraId="07F63032" w14:textId="1DD6D493" w:rsidR="00A2238C" w:rsidRDefault="00E75D5F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D61838">
              <w:rPr>
                <w:rFonts w:ascii="Verdana" w:hAnsi="Verdana"/>
                <w:sz w:val="20"/>
                <w:szCs w:val="20"/>
              </w:rPr>
              <w:t>68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D61838">
              <w:rPr>
                <w:rFonts w:ascii="Verdana" w:hAnsi="Verdana"/>
                <w:sz w:val="20"/>
                <w:szCs w:val="20"/>
              </w:rPr>
              <w:t>6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 xml:space="preserve"> millones por cuenta del proyecto Fondo Verde del Clima.</w:t>
            </w:r>
          </w:p>
          <w:p w14:paraId="0AA39F65" w14:textId="198A2D7F" w:rsidR="0098385D" w:rsidRDefault="00E75D5F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D61838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D61838">
              <w:rPr>
                <w:rFonts w:ascii="Verdana" w:hAnsi="Verdana"/>
                <w:sz w:val="20"/>
                <w:szCs w:val="20"/>
              </w:rPr>
              <w:t>1</w:t>
            </w:r>
            <w:r w:rsidR="0098385D">
              <w:rPr>
                <w:rFonts w:ascii="Verdana" w:hAnsi="Verdana"/>
                <w:sz w:val="20"/>
                <w:szCs w:val="20"/>
              </w:rPr>
              <w:t xml:space="preserve"> millones por cuenta del proyecto Corporación Andina </w:t>
            </w:r>
            <w:r w:rsidR="00C62003">
              <w:rPr>
                <w:rFonts w:ascii="Verdana" w:hAnsi="Verdana"/>
                <w:sz w:val="20"/>
                <w:szCs w:val="20"/>
              </w:rPr>
              <w:t>de</w:t>
            </w:r>
            <w:r w:rsidR="0098385D">
              <w:rPr>
                <w:rFonts w:ascii="Verdana" w:hAnsi="Verdana"/>
                <w:sz w:val="20"/>
                <w:szCs w:val="20"/>
              </w:rPr>
              <w:t xml:space="preserve"> Fomento.</w:t>
            </w:r>
          </w:p>
          <w:p w14:paraId="4226A621" w14:textId="1D3034BF" w:rsidR="00A2238C" w:rsidRDefault="006234DD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628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 xml:space="preserve"> millones por cuenta del proyecto </w:t>
            </w:r>
            <w:r>
              <w:rPr>
                <w:rFonts w:ascii="Verdana" w:hAnsi="Verdana"/>
                <w:sz w:val="20"/>
                <w:szCs w:val="20"/>
              </w:rPr>
              <w:t>de Gobierno de Corea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.</w:t>
            </w:r>
          </w:p>
          <w:p w14:paraId="5D644E77" w14:textId="607110B6" w:rsidR="00E75D5F" w:rsidRDefault="00D61838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  <w:r w:rsidR="00B468A1">
              <w:rPr>
                <w:rFonts w:ascii="Verdana" w:hAnsi="Verdana"/>
                <w:sz w:val="20"/>
                <w:szCs w:val="20"/>
              </w:rPr>
              <w:t>669,6</w:t>
            </w:r>
            <w:r w:rsidR="00E75D5F">
              <w:rPr>
                <w:rFonts w:ascii="Verdana" w:hAnsi="Verdana"/>
                <w:sz w:val="20"/>
                <w:szCs w:val="20"/>
              </w:rPr>
              <w:t xml:space="preserve"> millones por cuenta del proyecto de BCIE.</w:t>
            </w:r>
          </w:p>
          <w:p w14:paraId="4702B557" w14:textId="404C6CDD" w:rsidR="004536BA" w:rsidRDefault="004536BA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  <w:r w:rsidR="00B468A1">
              <w:rPr>
                <w:rFonts w:ascii="Verdana" w:hAnsi="Verdana"/>
                <w:sz w:val="20"/>
                <w:szCs w:val="20"/>
              </w:rPr>
              <w:t>155,3</w:t>
            </w:r>
            <w:r>
              <w:rPr>
                <w:rFonts w:ascii="Verdana" w:hAnsi="Verdana"/>
                <w:sz w:val="20"/>
                <w:szCs w:val="20"/>
              </w:rPr>
              <w:t xml:space="preserve"> millones por cuenta del proyecto CAF 2020</w:t>
            </w:r>
          </w:p>
          <w:p w14:paraId="68ACEBEB" w14:textId="6B9B9349" w:rsidR="004536BA" w:rsidRPr="0098385D" w:rsidRDefault="00B468A1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132,7</w:t>
            </w:r>
            <w:r w:rsidR="004536BA">
              <w:rPr>
                <w:rFonts w:ascii="Verdana" w:hAnsi="Verdana"/>
                <w:sz w:val="20"/>
                <w:szCs w:val="20"/>
              </w:rPr>
              <w:t xml:space="preserve"> millones por cuenta del proyecto Gobierno de Francia.</w:t>
            </w:r>
          </w:p>
          <w:p w14:paraId="5FC021EB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68E21DB8" w14:textId="40856CC9" w:rsidR="00D05B51" w:rsidRDefault="00EA3C52" w:rsidP="00F57B7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 F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ortalecimiento de las capacidades tecnológicas de la información en </w:t>
            </w:r>
            <w:r>
              <w:rPr>
                <w:rFonts w:ascii="Verdana" w:hAnsi="Verdana"/>
                <w:sz w:val="20"/>
                <w:szCs w:val="20"/>
              </w:rPr>
              <w:t xml:space="preserve">APC-COLOMBIA, 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con </w:t>
            </w:r>
            <w:r w:rsidR="001E22C0" w:rsidRPr="00EA3C52">
              <w:rPr>
                <w:rFonts w:ascii="Verdana" w:hAnsi="Verdana"/>
                <w:sz w:val="20"/>
                <w:szCs w:val="20"/>
              </w:rPr>
              <w:t xml:space="preserve">el </w:t>
            </w:r>
            <w:r w:rsidR="004536BA">
              <w:rPr>
                <w:rFonts w:ascii="Verdana" w:hAnsi="Verdana"/>
                <w:sz w:val="20"/>
                <w:szCs w:val="20"/>
              </w:rPr>
              <w:t>0,94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BD534A">
              <w:rPr>
                <w:rFonts w:ascii="Verdana" w:hAnsi="Verdana"/>
                <w:sz w:val="20"/>
                <w:szCs w:val="20"/>
              </w:rPr>
              <w:t>142</w:t>
            </w:r>
            <w:r w:rsidR="00E75D5F">
              <w:rPr>
                <w:rFonts w:ascii="Verdana" w:hAnsi="Verdana"/>
                <w:sz w:val="20"/>
                <w:szCs w:val="20"/>
              </w:rPr>
              <w:t>,</w:t>
            </w:r>
            <w:r w:rsidR="00BD534A">
              <w:rPr>
                <w:rFonts w:ascii="Verdana" w:hAnsi="Verdana"/>
                <w:sz w:val="20"/>
                <w:szCs w:val="20"/>
              </w:rPr>
              <w:t>4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millones </w:t>
            </w:r>
            <w:r w:rsidR="00F57B74">
              <w:rPr>
                <w:rFonts w:ascii="Verdana" w:hAnsi="Verdana"/>
                <w:sz w:val="20"/>
                <w:szCs w:val="20"/>
              </w:rPr>
              <w:t xml:space="preserve">para </w:t>
            </w:r>
            <w:r w:rsidR="00FB5CFF">
              <w:rPr>
                <w:rFonts w:ascii="Verdana" w:hAnsi="Verdana"/>
                <w:sz w:val="20"/>
                <w:szCs w:val="20"/>
              </w:rPr>
              <w:t xml:space="preserve">el 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>servicio</w:t>
            </w:r>
            <w:r w:rsidR="00FB5C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34DD">
              <w:rPr>
                <w:rFonts w:ascii="Verdana" w:hAnsi="Verdana"/>
                <w:sz w:val="20"/>
                <w:szCs w:val="20"/>
              </w:rPr>
              <w:t xml:space="preserve">de </w:t>
            </w:r>
            <w:r w:rsidR="00B468A1">
              <w:rPr>
                <w:rFonts w:ascii="Verdana" w:hAnsi="Verdana"/>
                <w:sz w:val="20"/>
                <w:szCs w:val="20"/>
              </w:rPr>
              <w:t>ocho</w:t>
            </w:r>
            <w:r w:rsidR="0066579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9136D">
              <w:rPr>
                <w:rFonts w:ascii="Verdana" w:hAnsi="Verdana"/>
                <w:sz w:val="20"/>
                <w:szCs w:val="20"/>
              </w:rPr>
              <w:t>profesional</w:t>
            </w:r>
            <w:r w:rsidR="00E75D5F">
              <w:rPr>
                <w:rFonts w:ascii="Verdana" w:hAnsi="Verdana"/>
                <w:sz w:val="20"/>
                <w:szCs w:val="20"/>
              </w:rPr>
              <w:t>es</w:t>
            </w:r>
            <w:r w:rsidR="00E9136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9136D" w:rsidRPr="00EA3C52">
              <w:rPr>
                <w:rFonts w:ascii="Verdana" w:hAnsi="Verdana"/>
                <w:sz w:val="20"/>
                <w:szCs w:val="20"/>
              </w:rPr>
              <w:t>para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la gestión del proye</w:t>
            </w:r>
            <w:r>
              <w:rPr>
                <w:rFonts w:ascii="Verdana" w:hAnsi="Verdana"/>
                <w:sz w:val="20"/>
                <w:szCs w:val="20"/>
              </w:rPr>
              <w:t>cto.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59B0485" w14:textId="77777777" w:rsidR="00C62003" w:rsidRDefault="00C62003" w:rsidP="00F57B7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70932A3" w14:textId="128865B3" w:rsidR="00F57B74" w:rsidRPr="003C58A7" w:rsidRDefault="00C62003" w:rsidP="00B468A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>
              <w:t xml:space="preserve"> 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Consolidación Del Sistema </w:t>
            </w:r>
            <w:r w:rsidRPr="00C62003">
              <w:rPr>
                <w:rFonts w:ascii="Verdana" w:hAnsi="Verdana"/>
                <w:sz w:val="20"/>
                <w:szCs w:val="20"/>
              </w:rPr>
              <w:t xml:space="preserve">Nacional De Cooperación Internacional A </w:t>
            </w:r>
            <w:r w:rsidR="003B4098" w:rsidRPr="00C62003">
              <w:rPr>
                <w:rFonts w:ascii="Verdana" w:hAnsi="Verdana"/>
                <w:sz w:val="20"/>
                <w:szCs w:val="20"/>
              </w:rPr>
              <w:t>Nivel Nacional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, con el </w:t>
            </w:r>
            <w:r w:rsidR="00BD534A">
              <w:rPr>
                <w:rFonts w:ascii="Verdana" w:hAnsi="Verdana"/>
                <w:sz w:val="20"/>
                <w:szCs w:val="20"/>
              </w:rPr>
              <w:t>3,</w:t>
            </w:r>
            <w:r w:rsidR="004536BA">
              <w:rPr>
                <w:rFonts w:ascii="Verdana" w:hAnsi="Verdana"/>
                <w:sz w:val="20"/>
                <w:szCs w:val="20"/>
              </w:rPr>
              <w:t>08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B468A1">
              <w:rPr>
                <w:rFonts w:ascii="Verdana" w:hAnsi="Verdana"/>
                <w:sz w:val="20"/>
                <w:szCs w:val="20"/>
              </w:rPr>
              <w:t>527</w:t>
            </w:r>
            <w:r w:rsidR="00E75D5F">
              <w:rPr>
                <w:rFonts w:ascii="Verdana" w:hAnsi="Verdana"/>
                <w:sz w:val="20"/>
                <w:szCs w:val="20"/>
              </w:rPr>
              <w:t>,</w:t>
            </w:r>
            <w:r w:rsidR="00B468A1">
              <w:rPr>
                <w:rFonts w:ascii="Verdana" w:hAnsi="Verdana"/>
                <w:sz w:val="20"/>
                <w:szCs w:val="20"/>
              </w:rPr>
              <w:t>2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millones para el servicio de </w:t>
            </w:r>
            <w:r w:rsidR="00BD534A">
              <w:rPr>
                <w:rFonts w:ascii="Verdana" w:hAnsi="Verdana"/>
                <w:sz w:val="20"/>
                <w:szCs w:val="20"/>
              </w:rPr>
              <w:t>diez profesionales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para la gestión del proyecto y </w:t>
            </w:r>
            <w:r w:rsidR="00823DC7">
              <w:rPr>
                <w:rFonts w:ascii="Verdana" w:hAnsi="Verdana"/>
                <w:sz w:val="20"/>
                <w:szCs w:val="20"/>
              </w:rPr>
              <w:t>se suscribió el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contrato con </w:t>
            </w:r>
            <w:r w:rsidR="003B4098" w:rsidRPr="003B4098">
              <w:rPr>
                <w:rFonts w:ascii="Verdana" w:hAnsi="Verdana"/>
                <w:sz w:val="20"/>
                <w:szCs w:val="20"/>
              </w:rPr>
              <w:t>Viaja Por El Mundo Web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para el desarrollo de las actividades </w:t>
            </w:r>
            <w:r w:rsidR="00823DC7">
              <w:rPr>
                <w:rFonts w:ascii="Verdana" w:hAnsi="Verdana"/>
                <w:sz w:val="20"/>
                <w:szCs w:val="20"/>
              </w:rPr>
              <w:t>previstas</w:t>
            </w:r>
            <w:r w:rsidR="00B468A1">
              <w:rPr>
                <w:rFonts w:ascii="Verdana" w:hAnsi="Verdana"/>
                <w:sz w:val="20"/>
                <w:szCs w:val="20"/>
              </w:rPr>
              <w:t xml:space="preserve"> y el contrato con </w:t>
            </w:r>
            <w:r w:rsidR="00B468A1" w:rsidRPr="00B468A1">
              <w:rPr>
                <w:rFonts w:ascii="Verdana" w:hAnsi="Verdana"/>
                <w:sz w:val="20"/>
                <w:szCs w:val="20"/>
              </w:rPr>
              <w:t>Fénix Media Group</w:t>
            </w:r>
            <w:r w:rsidR="00B468A1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88CA0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lastRenderedPageBreak/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Ejecución Obligaciones / Apropiación Vigente.</w:t>
            </w:r>
          </w:p>
          <w:p w14:paraId="0267C82C" w14:textId="2748B7C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A6DAD">
              <w:rPr>
                <w:rFonts w:ascii="Verdana" w:hAnsi="Verdana"/>
                <w:sz w:val="20"/>
                <w:szCs w:val="20"/>
              </w:rPr>
              <w:t>38.116</w:t>
            </w:r>
            <w:r w:rsidR="00F23A6F">
              <w:rPr>
                <w:rFonts w:ascii="Verdana" w:hAnsi="Verdana"/>
                <w:sz w:val="20"/>
                <w:szCs w:val="20"/>
              </w:rPr>
              <w:t>,</w:t>
            </w:r>
            <w:r w:rsidR="006A6DAD">
              <w:rPr>
                <w:rFonts w:ascii="Verdana" w:hAnsi="Verdana"/>
                <w:sz w:val="20"/>
                <w:szCs w:val="20"/>
              </w:rPr>
              <w:t>7</w:t>
            </w:r>
            <w:r w:rsidR="00E70862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681998">
              <w:rPr>
                <w:rFonts w:ascii="Verdana" w:hAnsi="Verdana"/>
                <w:sz w:val="20"/>
                <w:szCs w:val="20"/>
              </w:rPr>
              <w:t>6</w:t>
            </w:r>
            <w:r w:rsidR="006A6DAD">
              <w:rPr>
                <w:rFonts w:ascii="Verdana" w:hAnsi="Verdana"/>
                <w:sz w:val="20"/>
                <w:szCs w:val="20"/>
              </w:rPr>
              <w:t>1</w:t>
            </w:r>
            <w:r w:rsidR="00681998">
              <w:rPr>
                <w:rFonts w:ascii="Verdana" w:hAnsi="Verdana"/>
                <w:sz w:val="20"/>
                <w:szCs w:val="20"/>
              </w:rPr>
              <w:t>.</w:t>
            </w:r>
            <w:r w:rsidR="006A6DAD">
              <w:rPr>
                <w:rFonts w:ascii="Verdana" w:hAnsi="Verdana"/>
                <w:sz w:val="20"/>
                <w:szCs w:val="20"/>
              </w:rPr>
              <w:t>513</w:t>
            </w:r>
            <w:r w:rsidR="00681998">
              <w:rPr>
                <w:rFonts w:ascii="Verdana" w:hAnsi="Verdana"/>
                <w:sz w:val="20"/>
                <w:szCs w:val="20"/>
              </w:rPr>
              <w:t>,</w:t>
            </w:r>
            <w:r w:rsidR="006A6DAD">
              <w:rPr>
                <w:rFonts w:ascii="Verdana" w:hAnsi="Verdana"/>
                <w:sz w:val="20"/>
                <w:szCs w:val="20"/>
              </w:rPr>
              <w:t>3</w:t>
            </w:r>
            <w:r w:rsidR="00E70862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6A6DAD">
              <w:rPr>
                <w:rFonts w:ascii="Verdana" w:hAnsi="Verdana"/>
                <w:sz w:val="20"/>
                <w:szCs w:val="20"/>
              </w:rPr>
              <w:t>61</w:t>
            </w:r>
            <w:r w:rsidR="00F23A6F">
              <w:rPr>
                <w:rFonts w:ascii="Verdana" w:hAnsi="Verdana"/>
                <w:sz w:val="20"/>
                <w:szCs w:val="20"/>
              </w:rPr>
              <w:t>,</w:t>
            </w:r>
            <w:r w:rsidR="006A6DAD">
              <w:rPr>
                <w:rFonts w:ascii="Verdana" w:hAnsi="Verdana"/>
                <w:sz w:val="20"/>
                <w:szCs w:val="20"/>
              </w:rPr>
              <w:t>96</w:t>
            </w:r>
            <w:r w:rsidRPr="009B7746">
              <w:rPr>
                <w:rFonts w:ascii="Verdana" w:hAnsi="Verdana"/>
                <w:sz w:val="20"/>
                <w:szCs w:val="20"/>
              </w:rPr>
              <w:t>%.</w:t>
            </w:r>
          </w:p>
          <w:p w14:paraId="6276DEA1" w14:textId="77777777" w:rsidR="00A67EEC" w:rsidRPr="00EE79B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547AB7F" w14:textId="5D6A4A31" w:rsidR="00CB005B" w:rsidRDefault="00A67EEC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91634">
              <w:rPr>
                <w:rFonts w:ascii="Verdana" w:hAnsi="Verdana"/>
                <w:sz w:val="20"/>
                <w:szCs w:val="20"/>
              </w:rPr>
              <w:t>Con corte al</w:t>
            </w:r>
            <w:r w:rsidR="003110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A6DAD">
              <w:rPr>
                <w:rFonts w:ascii="Verdana" w:hAnsi="Verdana"/>
                <w:sz w:val="20"/>
                <w:szCs w:val="20"/>
              </w:rPr>
              <w:t>31</w:t>
            </w:r>
            <w:r w:rsidR="003110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A6DAD">
              <w:rPr>
                <w:rFonts w:ascii="Verdana" w:hAnsi="Verdana"/>
                <w:sz w:val="20"/>
                <w:szCs w:val="20"/>
              </w:rPr>
              <w:t>de diciembre</w:t>
            </w:r>
            <w:r w:rsidR="00D03009">
              <w:rPr>
                <w:rFonts w:ascii="Verdana" w:hAnsi="Verdana"/>
                <w:sz w:val="20"/>
                <w:szCs w:val="20"/>
              </w:rPr>
              <w:t xml:space="preserve"> de</w:t>
            </w:r>
            <w:r w:rsidR="00EE79B7" w:rsidRPr="00091634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681998" w:rsidRPr="00091634">
              <w:rPr>
                <w:rFonts w:ascii="Verdana" w:hAnsi="Verdana"/>
                <w:sz w:val="20"/>
                <w:szCs w:val="20"/>
              </w:rPr>
              <w:t>20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, la ejecución presupuestal de la entidad en materia de obligaciones fue del </w:t>
            </w:r>
            <w:r w:rsidR="006A6DAD">
              <w:rPr>
                <w:rFonts w:ascii="Verdana" w:hAnsi="Verdana"/>
                <w:sz w:val="20"/>
                <w:szCs w:val="20"/>
              </w:rPr>
              <w:t>61,96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 equivalente a </w:t>
            </w:r>
            <w:r w:rsidR="006A6DAD">
              <w:rPr>
                <w:rFonts w:ascii="Verdana" w:hAnsi="Verdana"/>
                <w:sz w:val="20"/>
                <w:szCs w:val="20"/>
              </w:rPr>
              <w:t>38.116,7</w:t>
            </w:r>
            <w:r w:rsidR="006A6DAD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millones, frente a una meta del </w:t>
            </w:r>
            <w:r w:rsidR="00B03A86">
              <w:rPr>
                <w:rFonts w:ascii="Verdana" w:hAnsi="Verdana"/>
                <w:sz w:val="20"/>
                <w:szCs w:val="20"/>
              </w:rPr>
              <w:t>94,30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%, 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con un </w:t>
            </w:r>
            <w:r w:rsidR="00B03A86">
              <w:rPr>
                <w:rFonts w:ascii="Verdana" w:hAnsi="Verdana"/>
                <w:sz w:val="20"/>
                <w:szCs w:val="20"/>
              </w:rPr>
              <w:t>déficit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B03A86">
              <w:rPr>
                <w:rFonts w:ascii="Verdana" w:hAnsi="Verdana"/>
                <w:sz w:val="20"/>
                <w:szCs w:val="20"/>
              </w:rPr>
              <w:t>21.249</w:t>
            </w:r>
            <w:r w:rsidR="001159B7" w:rsidRPr="00091634">
              <w:rPr>
                <w:rFonts w:ascii="Verdana" w:hAnsi="Verdana"/>
                <w:sz w:val="20"/>
                <w:szCs w:val="20"/>
              </w:rPr>
              <w:t>,</w:t>
            </w:r>
            <w:r w:rsidR="00B03A86">
              <w:rPr>
                <w:rFonts w:ascii="Verdana" w:hAnsi="Verdana"/>
                <w:sz w:val="20"/>
                <w:szCs w:val="20"/>
              </w:rPr>
              <w:t>6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millones, el cual se explica de la siguiente manera:</w:t>
            </w:r>
            <w:r w:rsidR="00517D33"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4AD92DF" w14:textId="77777777" w:rsidR="004B35F0" w:rsidRDefault="004B35F0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98AEBEC" w14:textId="41FB1055" w:rsidR="00CB005B" w:rsidRDefault="00A67EEC" w:rsidP="000437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16EE">
              <w:rPr>
                <w:rFonts w:ascii="Verdana" w:hAnsi="Verdana"/>
                <w:b/>
                <w:sz w:val="20"/>
                <w:szCs w:val="20"/>
              </w:rPr>
              <w:t>A) Gastos de funcionamiento:</w:t>
            </w:r>
          </w:p>
          <w:p w14:paraId="57AE5F99" w14:textId="77777777" w:rsidR="004B35F0" w:rsidRDefault="004B35F0" w:rsidP="000437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1898CD5" w14:textId="45DEC2AD" w:rsidR="00CB005B" w:rsidRDefault="00A67EEC" w:rsidP="0004373C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A516E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1) 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>Superávit</w:t>
            </w:r>
            <w:r w:rsidR="001159B7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 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por </w:t>
            </w:r>
            <w:r w:rsidR="009D2EA6">
              <w:rPr>
                <w:rFonts w:ascii="Verdana" w:hAnsi="Verdana"/>
                <w:iCs/>
                <w:sz w:val="20"/>
                <w:szCs w:val="20"/>
                <w:lang w:val="es-ES"/>
              </w:rPr>
              <w:t>41</w:t>
            </w:r>
            <w:r w:rsidR="00F23A6F">
              <w:rPr>
                <w:rFonts w:ascii="Verdana" w:hAnsi="Verdana"/>
                <w:iCs/>
                <w:sz w:val="20"/>
                <w:szCs w:val="20"/>
                <w:lang w:val="es-ES"/>
              </w:rPr>
              <w:t>,</w:t>
            </w:r>
            <w:r w:rsidR="009D2EA6">
              <w:rPr>
                <w:rFonts w:ascii="Verdana" w:hAnsi="Verdana"/>
                <w:iCs/>
                <w:sz w:val="20"/>
                <w:szCs w:val="20"/>
                <w:lang w:val="es-ES"/>
              </w:rPr>
              <w:t>5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millones, </w:t>
            </w:r>
            <w:r w:rsidR="009D2EA6">
              <w:rPr>
                <w:rFonts w:ascii="Verdana" w:hAnsi="Verdana"/>
                <w:iCs/>
                <w:sz w:val="20"/>
                <w:szCs w:val="20"/>
                <w:lang w:val="es-ES"/>
              </w:rPr>
              <w:t>se cumplió la meta.</w:t>
            </w:r>
          </w:p>
          <w:p w14:paraId="34C3BEB4" w14:textId="5368A095" w:rsidR="00EE3850" w:rsidRDefault="007B096C" w:rsidP="0004373C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>
              <w:rPr>
                <w:rFonts w:ascii="Verdana" w:hAnsi="Verdana" w:cs="Arial"/>
                <w:sz w:val="20"/>
                <w:szCs w:val="20"/>
                <w:lang w:val="es-CO"/>
              </w:rPr>
              <w:t>2)</w:t>
            </w:r>
            <w:r w:rsidR="009D2EA6">
              <w:rPr>
                <w:rFonts w:ascii="Verdana" w:hAnsi="Verdana" w:cs="Arial"/>
                <w:sz w:val="20"/>
                <w:szCs w:val="20"/>
                <w:lang w:val="es-CO"/>
              </w:rPr>
              <w:t>Déficit</w:t>
            </w:r>
            <w:r w:rsidR="00681998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 en la ejecución de adquisición de bienes y servicios por </w:t>
            </w:r>
            <w:r w:rsidR="009D2EA6">
              <w:rPr>
                <w:rFonts w:ascii="Verdana" w:hAnsi="Verdana" w:cs="Arial"/>
                <w:sz w:val="20"/>
                <w:szCs w:val="20"/>
                <w:lang w:val="es-CO"/>
              </w:rPr>
              <w:t>301</w:t>
            </w:r>
            <w:r w:rsidR="004B35F0">
              <w:rPr>
                <w:rFonts w:ascii="Verdana" w:hAnsi="Verdana" w:cs="Arial"/>
                <w:sz w:val="20"/>
                <w:szCs w:val="20"/>
                <w:lang w:val="es-CO"/>
              </w:rPr>
              <w:t>,</w:t>
            </w:r>
            <w:r w:rsidR="009D2EA6">
              <w:rPr>
                <w:rFonts w:ascii="Verdana" w:hAnsi="Verdana" w:cs="Arial"/>
                <w:sz w:val="20"/>
                <w:szCs w:val="20"/>
                <w:lang w:val="es-CO"/>
              </w:rPr>
              <w:t>4</w:t>
            </w:r>
            <w:r w:rsidR="00681998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millones, </w:t>
            </w:r>
            <w:r w:rsidR="00B65818" w:rsidRPr="000135D9">
              <w:rPr>
                <w:rFonts w:ascii="Verdana" w:hAnsi="Verdana" w:cs="Arial"/>
                <w:sz w:val="20"/>
                <w:szCs w:val="20"/>
                <w:lang w:val="es-CO"/>
              </w:rPr>
              <w:t>debido</w:t>
            </w:r>
            <w:r w:rsidR="009D2EA6">
              <w:rPr>
                <w:rFonts w:ascii="Verdana" w:hAnsi="Verdana" w:cs="Arial"/>
                <w:sz w:val="20"/>
                <w:szCs w:val="20"/>
                <w:lang w:val="es-CO"/>
              </w:rPr>
              <w:t xml:space="preserve"> a que algunos contratos </w:t>
            </w:r>
            <w:r w:rsidR="006C17AC">
              <w:rPr>
                <w:rFonts w:ascii="Verdana" w:hAnsi="Verdana" w:cs="Arial"/>
                <w:sz w:val="20"/>
                <w:szCs w:val="20"/>
                <w:lang w:val="es-CO"/>
              </w:rPr>
              <w:t xml:space="preserve">en sus actividades no se lograron ejecutar en su totalidad </w:t>
            </w:r>
            <w:r w:rsidR="00757E1D">
              <w:rPr>
                <w:rFonts w:ascii="Verdana" w:hAnsi="Verdana" w:cs="Arial"/>
                <w:sz w:val="20"/>
                <w:szCs w:val="20"/>
                <w:lang w:val="es-CO"/>
              </w:rPr>
              <w:t>por</w:t>
            </w:r>
            <w:r w:rsidR="006C17AC">
              <w:rPr>
                <w:rFonts w:ascii="Verdana" w:hAnsi="Verdana" w:cs="Arial"/>
                <w:sz w:val="20"/>
                <w:szCs w:val="20"/>
                <w:lang w:val="es-CO"/>
              </w:rPr>
              <w:t xml:space="preserve"> la situación sanitaria que presenta el país</w:t>
            </w:r>
            <w:r w:rsidR="00757E1D">
              <w:rPr>
                <w:rFonts w:ascii="Verdana" w:hAnsi="Verdana" w:cs="Arial"/>
                <w:sz w:val="20"/>
                <w:szCs w:val="20"/>
                <w:lang w:val="es-CO"/>
              </w:rPr>
              <w:t xml:space="preserve"> y en algunos bienes y servicios no se logró ejecutar o adquirir debido que no se encuentra en su totalidad el personal en las instalaciones de APC-Colombia y el consumo de muchos servicios se disminuyó.</w:t>
            </w:r>
          </w:p>
          <w:p w14:paraId="25F18782" w14:textId="03B89D7D" w:rsidR="00CB005B" w:rsidRDefault="00681998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3) 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>E</w:t>
            </w:r>
            <w:r w:rsidRPr="00C55089">
              <w:rPr>
                <w:rFonts w:ascii="Verdana" w:hAnsi="Verdana" w:cs="Arial"/>
                <w:sz w:val="20"/>
                <w:szCs w:val="20"/>
                <w:lang w:val="es-CO"/>
              </w:rPr>
              <w:t>n la ejecución de transferencia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s </w:t>
            </w:r>
            <w:r w:rsidRPr="00C55089">
              <w:rPr>
                <w:rFonts w:ascii="Verdana" w:hAnsi="Verdana" w:cs="Arial"/>
                <w:sz w:val="20"/>
                <w:szCs w:val="20"/>
                <w:lang w:val="es-CO"/>
              </w:rPr>
              <w:t>corrientes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 se presentó un </w:t>
            </w:r>
            <w:r w:rsidR="008E21DE">
              <w:rPr>
                <w:rFonts w:ascii="Verdana" w:hAnsi="Verdana" w:cs="Arial"/>
                <w:sz w:val="20"/>
                <w:szCs w:val="20"/>
                <w:lang w:val="es-CO"/>
              </w:rPr>
              <w:t>superávit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 por </w:t>
            </w:r>
            <w:r w:rsidR="00757E1D">
              <w:rPr>
                <w:rFonts w:ascii="Verdana" w:hAnsi="Verdana" w:cs="Arial"/>
                <w:sz w:val="20"/>
                <w:szCs w:val="20"/>
                <w:lang w:val="es-CO"/>
              </w:rPr>
              <w:t>1.226,3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 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discriminado así: </w:t>
            </w:r>
            <w:r w:rsidR="0081521A">
              <w:rPr>
                <w:rFonts w:ascii="Verdana" w:hAnsi="Verdana" w:cs="Arial"/>
                <w:sz w:val="20"/>
                <w:szCs w:val="20"/>
              </w:rPr>
              <w:t>i) superávit</w:t>
            </w:r>
            <w:r w:rsidR="008E21DE" w:rsidRPr="0049603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757E1D">
              <w:rPr>
                <w:rFonts w:ascii="Verdana" w:hAnsi="Verdana" w:cs="Arial"/>
                <w:sz w:val="20"/>
                <w:szCs w:val="20"/>
              </w:rPr>
              <w:t>1.272</w:t>
            </w:r>
            <w:r w:rsidR="00E87A2D">
              <w:rPr>
                <w:rFonts w:ascii="Verdana" w:hAnsi="Verdana" w:cs="Arial"/>
                <w:sz w:val="20"/>
                <w:szCs w:val="20"/>
              </w:rPr>
              <w:t>,</w:t>
            </w:r>
            <w:r w:rsidR="00757E1D">
              <w:rPr>
                <w:rFonts w:ascii="Verdana" w:hAnsi="Verdana" w:cs="Arial"/>
                <w:sz w:val="20"/>
                <w:szCs w:val="20"/>
              </w:rPr>
              <w:t>2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 millones</w:t>
            </w:r>
            <w:r w:rsidR="008E21DE" w:rsidRPr="003C7488">
              <w:rPr>
                <w:rFonts w:ascii="Verdana" w:hAnsi="Verdana" w:cs="Arial"/>
                <w:sz w:val="20"/>
                <w:szCs w:val="20"/>
              </w:rPr>
              <w:t xml:space="preserve"> de recursos provenientes del FOCAI debido a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 que</w:t>
            </w:r>
            <w:r w:rsidR="008E21DE" w:rsidRPr="003C74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E21DE">
              <w:rPr>
                <w:rFonts w:ascii="Verdana" w:hAnsi="Verdana" w:cs="Arial"/>
                <w:sz w:val="20"/>
                <w:szCs w:val="20"/>
              </w:rPr>
              <w:t>se</w:t>
            </w:r>
            <w:r w:rsidR="0068498A">
              <w:rPr>
                <w:rFonts w:ascii="Verdana" w:hAnsi="Verdana" w:cs="Arial"/>
                <w:sz w:val="20"/>
                <w:szCs w:val="20"/>
              </w:rPr>
              <w:t xml:space="preserve"> cumplió la meta y se ejecutó en su totalidad la apropiación del rubro</w:t>
            </w:r>
            <w:r w:rsidR="00E87A2D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>
              <w:rPr>
                <w:rFonts w:ascii="Verdana" w:hAnsi="Verdana" w:cs="Arial"/>
                <w:sz w:val="20"/>
                <w:szCs w:val="20"/>
              </w:rPr>
              <w:t>ii</w:t>
            </w:r>
            <w:r w:rsidRPr="0049603A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se presentó </w:t>
            </w:r>
            <w:r w:rsidR="00E95534">
              <w:rPr>
                <w:rFonts w:ascii="Verdana" w:hAnsi="Verdana" w:cs="Arial"/>
                <w:sz w:val="20"/>
                <w:szCs w:val="20"/>
              </w:rPr>
              <w:t>déficit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68498A">
              <w:rPr>
                <w:rFonts w:ascii="Verdana" w:hAnsi="Verdana" w:cs="Arial"/>
                <w:sz w:val="20"/>
                <w:szCs w:val="20"/>
              </w:rPr>
              <w:t>45,8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 millones del rubro de incapacidades y licencias de maternidad, </w:t>
            </w:r>
            <w:r w:rsidR="00A141A3">
              <w:rPr>
                <w:rFonts w:ascii="Verdana" w:hAnsi="Verdana" w:cs="Arial"/>
                <w:sz w:val="20"/>
                <w:szCs w:val="20"/>
              </w:rPr>
              <w:t xml:space="preserve">debido que </w:t>
            </w:r>
            <w:r w:rsidR="0081521A">
              <w:rPr>
                <w:rFonts w:ascii="Verdana" w:hAnsi="Verdana" w:cs="Arial"/>
                <w:sz w:val="20"/>
                <w:szCs w:val="20"/>
              </w:rPr>
              <w:t>este rubro es variable según las incapacidades y licencias que radican el talento humano.</w:t>
            </w:r>
          </w:p>
          <w:p w14:paraId="2CC4B593" w14:textId="046676BD" w:rsidR="0068498A" w:rsidRDefault="0081521A" w:rsidP="006849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750DC" w:rsidRPr="00182BFD">
              <w:rPr>
                <w:rFonts w:ascii="Verdana" w:hAnsi="Verdana"/>
                <w:b/>
                <w:sz w:val="20"/>
                <w:szCs w:val="20"/>
              </w:rPr>
              <w:t>B) Gastos de inversión:</w:t>
            </w:r>
            <w:r w:rsidR="008E21D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98A">
              <w:rPr>
                <w:rFonts w:ascii="Verdana" w:hAnsi="Verdana" w:cs="Arial"/>
                <w:sz w:val="20"/>
                <w:szCs w:val="20"/>
                <w:lang w:val="es-CO"/>
              </w:rPr>
              <w:t>Déficit de 22.326,6</w:t>
            </w:r>
            <w:r w:rsidR="0004373C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</w:t>
            </w:r>
            <w:r w:rsidR="00052AB3">
              <w:rPr>
                <w:rFonts w:ascii="Verdana" w:hAnsi="Verdana" w:cs="Arial"/>
                <w:sz w:val="20"/>
                <w:szCs w:val="20"/>
                <w:lang w:val="es-CO"/>
              </w:rPr>
              <w:t xml:space="preserve"> debido </w:t>
            </w:r>
            <w:r w:rsidR="0068498A">
              <w:rPr>
                <w:rFonts w:ascii="Verdana" w:hAnsi="Verdana" w:cs="Arial"/>
                <w:sz w:val="20"/>
                <w:szCs w:val="20"/>
                <w:lang w:val="es-CO"/>
              </w:rPr>
              <w:t>que a que lo recursos correspondientes del proyecto del Gobierno de Japón no se ejecutaron debido</w:t>
            </w:r>
            <w:r w:rsidR="00CA39B4">
              <w:rPr>
                <w:rFonts w:ascii="Verdana" w:hAnsi="Verdana" w:cs="Arial"/>
                <w:sz w:val="20"/>
                <w:szCs w:val="20"/>
                <w:lang w:val="es-CO"/>
              </w:rPr>
              <w:t xml:space="preserve"> a que no se</w:t>
            </w:r>
            <w:r w:rsidR="0068498A">
              <w:rPr>
                <w:rFonts w:ascii="Verdana" w:hAnsi="Verdana" w:cs="Arial"/>
                <w:sz w:val="20"/>
                <w:szCs w:val="20"/>
                <w:lang w:val="es-CO"/>
              </w:rPr>
              <w:t xml:space="preserve"> realización del </w:t>
            </w:r>
            <w:r w:rsidR="0068498A">
              <w:rPr>
                <w:rFonts w:ascii="Verdana" w:hAnsi="Verdana" w:cs="Arial"/>
                <w:sz w:val="20"/>
                <w:szCs w:val="20"/>
                <w:lang w:val="es-CO"/>
              </w:rPr>
              <w:lastRenderedPageBreak/>
              <w:t>contrato con JICS,</w:t>
            </w:r>
            <w:r w:rsidR="00CA39B4">
              <w:rPr>
                <w:rFonts w:ascii="Verdana" w:hAnsi="Verdana" w:cs="Arial"/>
                <w:sz w:val="20"/>
                <w:szCs w:val="20"/>
                <w:lang w:val="es-CO"/>
              </w:rPr>
              <w:t xml:space="preserve"> y algunos contratos se prorrogaron para la vigencia 2021 para terminación de las actividades, el cual atraso el pago de algunas facturas de los proyectos de Administración de recursos.</w:t>
            </w:r>
          </w:p>
          <w:p w14:paraId="0B4CE376" w14:textId="77777777" w:rsidR="0068498A" w:rsidRDefault="0068498A" w:rsidP="0068498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A6F9885" w14:textId="20BC5642" w:rsidR="0004373C" w:rsidRPr="007C68D7" w:rsidRDefault="0004373C" w:rsidP="0004373C">
            <w:pPr>
              <w:spacing w:after="160" w:line="259" w:lineRule="auto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A13924">
              <w:rPr>
                <w:rFonts w:ascii="Verdana" w:hAnsi="Verdana" w:cs="Arial"/>
                <w:sz w:val="20"/>
                <w:szCs w:val="20"/>
                <w:lang w:val="es-CO"/>
              </w:rPr>
              <w:t xml:space="preserve">El </w:t>
            </w:r>
            <w:r w:rsidR="00CA39B4">
              <w:rPr>
                <w:rFonts w:ascii="Verdana" w:hAnsi="Verdana" w:cs="Arial"/>
                <w:sz w:val="20"/>
                <w:szCs w:val="20"/>
                <w:lang w:val="es-CO"/>
              </w:rPr>
              <w:t>96,19</w:t>
            </w:r>
            <w:r w:rsidRPr="00A13924">
              <w:rPr>
                <w:rFonts w:ascii="Verdana" w:hAnsi="Verdana" w:cs="Arial"/>
                <w:sz w:val="20"/>
                <w:szCs w:val="20"/>
                <w:lang w:val="es-CO"/>
              </w:rPr>
              <w:t xml:space="preserve">% de la ejecución corresponde a los gastos de funcionamiento y el </w:t>
            </w:r>
            <w:r w:rsidR="00CA39B4">
              <w:rPr>
                <w:rFonts w:ascii="Verdana" w:hAnsi="Verdana" w:cs="Arial"/>
                <w:sz w:val="20"/>
                <w:szCs w:val="20"/>
                <w:lang w:val="es-CO"/>
              </w:rPr>
              <w:t>33,77</w:t>
            </w:r>
            <w:r w:rsidRPr="00A13924">
              <w:rPr>
                <w:rFonts w:ascii="Verdana" w:hAnsi="Verdana" w:cs="Arial"/>
                <w:sz w:val="20"/>
                <w:szCs w:val="20"/>
                <w:lang w:val="es-CO"/>
              </w:rPr>
              <w:t>% a los gastos de inversión.</w:t>
            </w:r>
          </w:p>
          <w:p w14:paraId="363B1476" w14:textId="77777777" w:rsidR="00182BFD" w:rsidRPr="00E279ED" w:rsidRDefault="00182BF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138CCD29" w14:textId="77777777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D683B">
              <w:rPr>
                <w:rFonts w:ascii="Verdana" w:hAnsi="Verdana" w:cs="Arial"/>
                <w:sz w:val="20"/>
                <w:szCs w:val="20"/>
              </w:rPr>
              <w:t>La ejecución de obligaciones en funcionamiento se distribuyó así:</w:t>
            </w:r>
            <w:bookmarkStart w:id="0" w:name="_GoBack"/>
            <w:bookmarkEnd w:id="0"/>
          </w:p>
          <w:p w14:paraId="1BA74CA7" w14:textId="777777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C346354" w14:textId="2FA7B315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1) Gastos de personal con el </w:t>
            </w:r>
            <w:r w:rsidR="00181E6C">
              <w:rPr>
                <w:rFonts w:ascii="Verdana" w:hAnsi="Verdana" w:cs="Arial"/>
                <w:sz w:val="20"/>
                <w:szCs w:val="20"/>
              </w:rPr>
              <w:t>34,81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00D3845B" w14:textId="5F60808F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2) Gastos por adquisición de bienes y servicios con el </w:t>
            </w:r>
            <w:r w:rsidR="00181E6C">
              <w:rPr>
                <w:rFonts w:ascii="Verdana" w:hAnsi="Verdana" w:cs="Arial"/>
                <w:sz w:val="20"/>
                <w:szCs w:val="20"/>
              </w:rPr>
              <w:t>11,73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4D894DD5" w14:textId="43EE50E6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>
              <w:rPr>
                <w:rFonts w:ascii="Verdana" w:hAnsi="Verdana" w:cs="Arial"/>
                <w:sz w:val="20"/>
                <w:szCs w:val="20"/>
              </w:rPr>
              <w:t xml:space="preserve">Gastos 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de transferencias corrientes representan el </w:t>
            </w:r>
            <w:r w:rsidR="00181E6C">
              <w:rPr>
                <w:rFonts w:ascii="Verdana" w:hAnsi="Verdana" w:cs="Arial"/>
                <w:sz w:val="20"/>
                <w:szCs w:val="20"/>
              </w:rPr>
              <w:t>52,74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585E78">
              <w:rPr>
                <w:rFonts w:ascii="Verdana" w:hAnsi="Verdana" w:cs="Arial"/>
                <w:sz w:val="20"/>
                <w:szCs w:val="20"/>
              </w:rPr>
              <w:t>52,64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="00246760">
              <w:rPr>
                <w:rFonts w:ascii="Verdana" w:hAnsi="Verdana" w:cs="Arial"/>
                <w:sz w:val="20"/>
                <w:szCs w:val="20"/>
              </w:rPr>
              <w:t>,</w:t>
            </w:r>
            <w:r w:rsidR="00585E78">
              <w:rPr>
                <w:rFonts w:ascii="Verdana" w:hAnsi="Verdana" w:cs="Arial"/>
                <w:sz w:val="20"/>
                <w:szCs w:val="20"/>
              </w:rPr>
              <w:t>10</w:t>
            </w:r>
            <w:r w:rsidRPr="00882814">
              <w:rPr>
                <w:rFonts w:ascii="Verdana" w:hAnsi="Verdana" w:cs="Arial"/>
                <w:sz w:val="20"/>
                <w:szCs w:val="20"/>
              </w:rPr>
              <w:t>% a Incapaci</w:t>
            </w:r>
            <w:r>
              <w:rPr>
                <w:rFonts w:ascii="Verdana" w:hAnsi="Verdana" w:cs="Arial"/>
                <w:sz w:val="20"/>
                <w:szCs w:val="20"/>
              </w:rPr>
              <w:t>dades y Licencias de maternidad y paternidad.</w:t>
            </w:r>
          </w:p>
          <w:p w14:paraId="277BB5C1" w14:textId="5BEABC8A" w:rsidR="000023EC" w:rsidRDefault="000023EC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Gastos de </w:t>
            </w:r>
            <w:r w:rsidRPr="0012189C">
              <w:rPr>
                <w:rFonts w:ascii="Verdana" w:hAnsi="Verdana" w:cs="Arial"/>
                <w:sz w:val="20"/>
                <w:szCs w:val="20"/>
              </w:rPr>
              <w:t>tributos, multas, sanciones e intereses de mora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con el 0,</w:t>
            </w:r>
            <w:r w:rsidR="00585E78">
              <w:rPr>
                <w:rFonts w:ascii="Verdana" w:hAnsi="Verdana" w:cs="Arial"/>
                <w:sz w:val="20"/>
                <w:szCs w:val="20"/>
              </w:rPr>
              <w:t>72</w:t>
            </w:r>
            <w:r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09D74D6A" w14:textId="209F743D" w:rsidR="00A67EEC" w:rsidRPr="006D212E" w:rsidRDefault="008E21DE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23C1950E" w14:textId="77777777" w:rsidR="0004373C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>La ejecución de los gastos de inversión estuvo distribuida así:</w:t>
            </w:r>
          </w:p>
          <w:p w14:paraId="548000BE" w14:textId="15E805B0" w:rsidR="00182C5F" w:rsidRDefault="00182C5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12EE65E" w14:textId="4BFDCF34" w:rsidR="007D2E8C" w:rsidRDefault="007D2E8C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1)</w:t>
            </w:r>
            <w:r>
              <w:rPr>
                <w:rFonts w:ascii="Verdana" w:hAnsi="Verdana"/>
                <w:sz w:val="20"/>
                <w:szCs w:val="20"/>
              </w:rPr>
              <w:t xml:space="preserve"> Contrapartidas Nacional con el </w:t>
            </w:r>
            <w:r w:rsidR="00585E78">
              <w:rPr>
                <w:rFonts w:ascii="Verdana" w:hAnsi="Verdana"/>
                <w:sz w:val="20"/>
                <w:szCs w:val="20"/>
              </w:rPr>
              <w:t>16,91</w:t>
            </w:r>
            <w:r>
              <w:rPr>
                <w:rFonts w:ascii="Verdana" w:hAnsi="Verdana"/>
                <w:sz w:val="20"/>
                <w:szCs w:val="20"/>
              </w:rPr>
              <w:t>% de la ejecución</w:t>
            </w:r>
            <w:r w:rsidR="00AF6CA5">
              <w:rPr>
                <w:rFonts w:ascii="Verdana" w:hAnsi="Verdana"/>
                <w:sz w:val="20"/>
                <w:szCs w:val="20"/>
              </w:rPr>
              <w:t xml:space="preserve"> en inversión, equivalente a </w:t>
            </w:r>
            <w:r w:rsidR="00585E78">
              <w:rPr>
                <w:rFonts w:ascii="Verdana" w:hAnsi="Verdana"/>
                <w:sz w:val="20"/>
                <w:szCs w:val="20"/>
              </w:rPr>
              <w:t>1.925,3</w:t>
            </w:r>
            <w:r>
              <w:rPr>
                <w:rFonts w:ascii="Verdana" w:hAnsi="Verdana"/>
                <w:sz w:val="20"/>
                <w:szCs w:val="20"/>
              </w:rPr>
              <w:t xml:space="preserve"> millones pago de </w:t>
            </w:r>
            <w:r w:rsidR="00AF6CA5">
              <w:rPr>
                <w:rFonts w:ascii="Verdana" w:hAnsi="Verdana"/>
                <w:sz w:val="20"/>
                <w:szCs w:val="20"/>
              </w:rPr>
              <w:t xml:space="preserve">los </w:t>
            </w:r>
            <w:r>
              <w:rPr>
                <w:rFonts w:ascii="Verdana" w:hAnsi="Verdana"/>
                <w:sz w:val="20"/>
                <w:szCs w:val="20"/>
              </w:rPr>
              <w:t>convenios de este proyecto de contrapartidas.</w:t>
            </w:r>
          </w:p>
          <w:p w14:paraId="4B75B454" w14:textId="77777777" w:rsidR="007D2E8C" w:rsidRDefault="007D2E8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DA95DE0" w14:textId="292C9B94" w:rsidR="00182C5F" w:rsidRDefault="00182C5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) Administración de Recursos de Cooperación con el </w:t>
            </w:r>
            <w:r w:rsidR="00585E78">
              <w:rPr>
                <w:rFonts w:ascii="Verdana" w:hAnsi="Verdana" w:cs="Arial"/>
                <w:sz w:val="20"/>
                <w:szCs w:val="20"/>
              </w:rPr>
              <w:t>78,16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>%</w:t>
            </w:r>
          </w:p>
          <w:p w14:paraId="758346F1" w14:textId="220D4772" w:rsidR="0004373C" w:rsidRPr="007C68D7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 de la ejecución en inversión, equivalente a </w:t>
            </w:r>
            <w:r w:rsidR="00585E78">
              <w:rPr>
                <w:rFonts w:ascii="Verdana" w:hAnsi="Verdana" w:cs="Arial"/>
                <w:sz w:val="20"/>
                <w:szCs w:val="20"/>
              </w:rPr>
              <w:t>8.901,7</w:t>
            </w:r>
            <w:r w:rsidRPr="007C68D7">
              <w:rPr>
                <w:rFonts w:ascii="Verdana" w:hAnsi="Verdana" w:cs="Arial"/>
                <w:sz w:val="20"/>
                <w:szCs w:val="20"/>
              </w:rPr>
              <w:t xml:space="preserve"> millones, distribuidos así:</w:t>
            </w:r>
          </w:p>
          <w:p w14:paraId="48459352" w14:textId="77777777" w:rsidR="000023EC" w:rsidRDefault="000023EC" w:rsidP="000023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0318FB9" w14:textId="3970D685" w:rsidR="000023EC" w:rsidRPr="00585E78" w:rsidRDefault="00585E78" w:rsidP="00585E7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85E78">
              <w:rPr>
                <w:rFonts w:ascii="Verdana" w:hAnsi="Verdana" w:cs="Arial"/>
                <w:sz w:val="20"/>
                <w:szCs w:val="20"/>
              </w:rPr>
              <w:t>983</w:t>
            </w:r>
            <w:r w:rsidR="00AF6CA5" w:rsidRPr="00585E78">
              <w:rPr>
                <w:rFonts w:ascii="Verdana" w:hAnsi="Verdana" w:cs="Arial"/>
                <w:sz w:val="20"/>
                <w:szCs w:val="20"/>
              </w:rPr>
              <w:t>,</w:t>
            </w:r>
            <w:r w:rsidRPr="00585E78">
              <w:rPr>
                <w:rFonts w:ascii="Verdana" w:hAnsi="Verdana" w:cs="Arial"/>
                <w:sz w:val="20"/>
                <w:szCs w:val="20"/>
              </w:rPr>
              <w:t>0</w:t>
            </w:r>
            <w:r w:rsidR="000023EC" w:rsidRPr="00585E78">
              <w:rPr>
                <w:rFonts w:ascii="Verdana" w:hAnsi="Verdana" w:cs="Arial"/>
                <w:sz w:val="20"/>
                <w:szCs w:val="20"/>
              </w:rPr>
              <w:t xml:space="preserve"> millones, </w:t>
            </w:r>
            <w:r w:rsidR="006C7D70" w:rsidRPr="00585E78">
              <w:rPr>
                <w:rFonts w:ascii="Verdana" w:hAnsi="Verdana" w:cs="Arial"/>
                <w:sz w:val="20"/>
                <w:szCs w:val="20"/>
              </w:rPr>
              <w:t xml:space="preserve">pagos del </w:t>
            </w:r>
            <w:r w:rsidR="000023EC" w:rsidRPr="00585E78">
              <w:rPr>
                <w:rFonts w:ascii="Verdana" w:hAnsi="Verdana" w:cs="Arial"/>
                <w:sz w:val="20"/>
                <w:szCs w:val="20"/>
              </w:rPr>
              <w:t>proyecto” Estrategia regional de emprendimiento” financiado con recursos donados por la Unión Europea.</w:t>
            </w:r>
          </w:p>
          <w:p w14:paraId="78638B5D" w14:textId="740C66FB" w:rsidR="0004373C" w:rsidRPr="00585E78" w:rsidRDefault="00AF6CA5" w:rsidP="00585E7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85E78">
              <w:rPr>
                <w:rFonts w:ascii="Verdana" w:hAnsi="Verdana" w:cs="Arial"/>
                <w:sz w:val="20"/>
                <w:szCs w:val="20"/>
              </w:rPr>
              <w:t>3.</w:t>
            </w:r>
            <w:r w:rsidR="00585E78" w:rsidRPr="00585E78">
              <w:rPr>
                <w:rFonts w:ascii="Verdana" w:hAnsi="Verdana" w:cs="Arial"/>
                <w:sz w:val="20"/>
                <w:szCs w:val="20"/>
              </w:rPr>
              <w:t>271</w:t>
            </w:r>
            <w:r w:rsidR="00C85BD5" w:rsidRPr="00585E78">
              <w:rPr>
                <w:rFonts w:ascii="Verdana" w:hAnsi="Verdana" w:cs="Arial"/>
                <w:sz w:val="20"/>
                <w:szCs w:val="20"/>
              </w:rPr>
              <w:t>,</w:t>
            </w:r>
            <w:r w:rsidR="00585E78" w:rsidRPr="00585E78">
              <w:rPr>
                <w:rFonts w:ascii="Verdana" w:hAnsi="Verdana" w:cs="Arial"/>
                <w:sz w:val="20"/>
                <w:szCs w:val="20"/>
              </w:rPr>
              <w:t>9</w:t>
            </w:r>
            <w:r w:rsidR="0004373C" w:rsidRPr="00585E78">
              <w:rPr>
                <w:rFonts w:ascii="Verdana" w:hAnsi="Verdana" w:cs="Arial"/>
                <w:sz w:val="20"/>
                <w:szCs w:val="20"/>
              </w:rPr>
              <w:t xml:space="preserve"> millones, pagos del proyecto de desminado terrestre en el marco del convenio de subvención firmado con la fundación Howard Buffet.</w:t>
            </w:r>
          </w:p>
          <w:p w14:paraId="0FC51260" w14:textId="082602E1" w:rsidR="00580B9A" w:rsidRPr="00585E78" w:rsidRDefault="00AF6CA5" w:rsidP="00585E7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585E78">
              <w:rPr>
                <w:rFonts w:ascii="Verdana" w:hAnsi="Verdana" w:cs="Arial"/>
                <w:sz w:val="20"/>
                <w:szCs w:val="20"/>
              </w:rPr>
              <w:lastRenderedPageBreak/>
              <w:t>5</w:t>
            </w:r>
            <w:r w:rsidR="00585E78" w:rsidRPr="00585E78">
              <w:rPr>
                <w:rFonts w:ascii="Verdana" w:hAnsi="Verdana" w:cs="Arial"/>
                <w:sz w:val="20"/>
                <w:szCs w:val="20"/>
              </w:rPr>
              <w:t>6</w:t>
            </w:r>
            <w:r w:rsidRPr="00585E78">
              <w:rPr>
                <w:rFonts w:ascii="Verdana" w:hAnsi="Verdana" w:cs="Arial"/>
                <w:sz w:val="20"/>
                <w:szCs w:val="20"/>
              </w:rPr>
              <w:t>8</w:t>
            </w:r>
            <w:r w:rsidR="006C7D70" w:rsidRPr="00585E78">
              <w:rPr>
                <w:rFonts w:ascii="Verdana" w:hAnsi="Verdana" w:cs="Arial"/>
                <w:sz w:val="20"/>
                <w:szCs w:val="20"/>
              </w:rPr>
              <w:t>,</w:t>
            </w:r>
            <w:r w:rsidR="00585E78" w:rsidRPr="00585E78">
              <w:rPr>
                <w:rFonts w:ascii="Verdana" w:hAnsi="Verdana" w:cs="Arial"/>
                <w:sz w:val="20"/>
                <w:szCs w:val="20"/>
              </w:rPr>
              <w:t>6</w:t>
            </w:r>
            <w:r w:rsidR="006C7D70" w:rsidRPr="00585E78">
              <w:rPr>
                <w:rFonts w:ascii="Verdana" w:hAnsi="Verdana" w:cs="Arial"/>
                <w:sz w:val="20"/>
                <w:szCs w:val="20"/>
              </w:rPr>
              <w:t xml:space="preserve">millones, pagos del </w:t>
            </w:r>
            <w:r w:rsidR="006C7D70" w:rsidRPr="00585E78">
              <w:rPr>
                <w:rFonts w:ascii="Verdana" w:hAnsi="Verdana"/>
                <w:sz w:val="20"/>
                <w:szCs w:val="20"/>
              </w:rPr>
              <w:t>proyecto Fondo Verde del Clima.</w:t>
            </w:r>
          </w:p>
          <w:p w14:paraId="34CFA902" w14:textId="654F6F73" w:rsidR="00580B9A" w:rsidRPr="00585E78" w:rsidRDefault="00AF6CA5" w:rsidP="00585E7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585E78">
              <w:rPr>
                <w:rFonts w:ascii="Verdana" w:hAnsi="Verdana"/>
                <w:sz w:val="20"/>
                <w:szCs w:val="20"/>
              </w:rPr>
              <w:t>71</w:t>
            </w:r>
            <w:r w:rsidR="00580B9A" w:rsidRPr="00585E78">
              <w:rPr>
                <w:rFonts w:ascii="Verdana" w:hAnsi="Verdana"/>
                <w:sz w:val="20"/>
                <w:szCs w:val="20"/>
              </w:rPr>
              <w:t>,</w:t>
            </w:r>
            <w:r w:rsidRPr="00585E78">
              <w:rPr>
                <w:rFonts w:ascii="Verdana" w:hAnsi="Verdana"/>
                <w:sz w:val="20"/>
                <w:szCs w:val="20"/>
              </w:rPr>
              <w:t>1</w:t>
            </w:r>
            <w:r w:rsidR="00580B9A" w:rsidRPr="00585E78">
              <w:rPr>
                <w:rFonts w:ascii="Verdana" w:hAnsi="Verdana"/>
                <w:sz w:val="20"/>
                <w:szCs w:val="20"/>
              </w:rPr>
              <w:t xml:space="preserve"> millones por cuenta del proyecto Corporación Andina de Fomento.</w:t>
            </w:r>
          </w:p>
          <w:p w14:paraId="528F0325" w14:textId="03A5E0C0" w:rsidR="00580B9A" w:rsidRPr="00585E78" w:rsidRDefault="00585E78" w:rsidP="00585E7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585E78">
              <w:rPr>
                <w:rFonts w:ascii="Verdana" w:hAnsi="Verdana" w:cs="Arial"/>
                <w:sz w:val="20"/>
                <w:szCs w:val="20"/>
              </w:rPr>
              <w:t>390</w:t>
            </w:r>
            <w:r w:rsidR="00171DFF" w:rsidRPr="00585E78">
              <w:rPr>
                <w:rFonts w:ascii="Verdana" w:hAnsi="Verdana" w:cs="Arial"/>
                <w:sz w:val="20"/>
                <w:szCs w:val="20"/>
              </w:rPr>
              <w:t>,</w:t>
            </w:r>
            <w:r w:rsidRPr="00585E78">
              <w:rPr>
                <w:rFonts w:ascii="Verdana" w:hAnsi="Verdana" w:cs="Arial"/>
                <w:sz w:val="20"/>
                <w:szCs w:val="20"/>
              </w:rPr>
              <w:t>4</w:t>
            </w:r>
            <w:r w:rsidR="00C85BD5" w:rsidRPr="00585E78">
              <w:rPr>
                <w:rFonts w:ascii="Verdana" w:hAnsi="Verdana" w:cs="Arial"/>
                <w:sz w:val="20"/>
                <w:szCs w:val="20"/>
              </w:rPr>
              <w:t xml:space="preserve"> millones, pagos del proyecto </w:t>
            </w:r>
            <w:r w:rsidR="00580B9A" w:rsidRPr="00585E78">
              <w:rPr>
                <w:rFonts w:ascii="Verdana" w:hAnsi="Verdana"/>
                <w:sz w:val="20"/>
                <w:szCs w:val="20"/>
              </w:rPr>
              <w:t>de Gobierno de Corea.</w:t>
            </w:r>
          </w:p>
          <w:p w14:paraId="54855AE7" w14:textId="2E9DCAB4" w:rsidR="00585E78" w:rsidRPr="00585E78" w:rsidRDefault="00585E78" w:rsidP="00585E7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2.824,4</w:t>
            </w:r>
            <w:r w:rsidR="00AF6CA5" w:rsidRPr="00585E7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13924" w:rsidRPr="00585E78">
              <w:rPr>
                <w:rFonts w:ascii="Verdana" w:hAnsi="Verdana"/>
                <w:sz w:val="20"/>
                <w:szCs w:val="20"/>
              </w:rPr>
              <w:t>millones, pagos</w:t>
            </w:r>
            <w:r w:rsidR="00AF6CA5" w:rsidRPr="00585E78">
              <w:rPr>
                <w:rFonts w:ascii="Verdana" w:hAnsi="Verdana"/>
                <w:sz w:val="20"/>
                <w:szCs w:val="20"/>
              </w:rPr>
              <w:t xml:space="preserve"> del proyecto de BCIE.</w:t>
            </w:r>
          </w:p>
          <w:p w14:paraId="1AFD29E9" w14:textId="01105780" w:rsidR="00585E78" w:rsidRDefault="00585E78" w:rsidP="00585E7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760,7</w:t>
            </w:r>
            <w:r>
              <w:rPr>
                <w:rFonts w:ascii="Verdana" w:hAnsi="Verdana"/>
                <w:sz w:val="20"/>
                <w:szCs w:val="20"/>
              </w:rPr>
              <w:t xml:space="preserve"> millones por cuenta del proyecto CAF 2020</w:t>
            </w:r>
          </w:p>
          <w:p w14:paraId="7D3D88E3" w14:textId="77777777" w:rsidR="00585E78" w:rsidRPr="0098385D" w:rsidRDefault="00585E78" w:rsidP="00585E7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132,7 millones por cuenta del proyecto Gobierno de Francia.</w:t>
            </w:r>
          </w:p>
          <w:p w14:paraId="65FDCBEE" w14:textId="77777777" w:rsidR="00585E78" w:rsidRPr="00FA5311" w:rsidRDefault="00585E78" w:rsidP="00FA531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6E95819" w14:textId="53787B75" w:rsidR="0004373C" w:rsidRPr="007C68D7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0E5B796" w14:textId="4D43FF3A" w:rsidR="00C85BD5" w:rsidRDefault="00C85BD5" w:rsidP="00C85BD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) Fortalecimiento de las capacidades tecnológicas de la información en APC-COLOMBIA, con el </w:t>
            </w:r>
            <w:r w:rsidR="00246760">
              <w:rPr>
                <w:rFonts w:ascii="Verdana" w:hAnsi="Verdana" w:cs="Arial"/>
                <w:sz w:val="20"/>
                <w:szCs w:val="20"/>
              </w:rPr>
              <w:t>01,</w:t>
            </w:r>
            <w:r w:rsidR="00F132BB">
              <w:rPr>
                <w:rFonts w:ascii="Verdana" w:hAnsi="Verdana" w:cs="Arial"/>
                <w:sz w:val="20"/>
                <w:szCs w:val="20"/>
              </w:rPr>
              <w:t>18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% de la ejecución en inversión, equivalente a </w:t>
            </w:r>
            <w:r w:rsidR="00F132BB">
              <w:rPr>
                <w:rFonts w:ascii="Verdana" w:hAnsi="Verdana" w:cs="Arial"/>
                <w:sz w:val="20"/>
                <w:szCs w:val="20"/>
              </w:rPr>
              <w:t>134,0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 millones </w:t>
            </w:r>
            <w:r>
              <w:rPr>
                <w:rFonts w:ascii="Verdana" w:hAnsi="Verdana"/>
                <w:sz w:val="20"/>
                <w:szCs w:val="20"/>
              </w:rPr>
              <w:t xml:space="preserve">pago de </w:t>
            </w:r>
            <w:r w:rsidR="00FA5311">
              <w:rPr>
                <w:rFonts w:ascii="Verdana" w:hAnsi="Verdana"/>
                <w:sz w:val="20"/>
                <w:szCs w:val="20"/>
              </w:rPr>
              <w:t>los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A5311" w:rsidRPr="00EA3C52">
              <w:rPr>
                <w:rFonts w:ascii="Verdana" w:hAnsi="Verdana"/>
                <w:sz w:val="20"/>
                <w:szCs w:val="20"/>
              </w:rPr>
              <w:t>servicio</w:t>
            </w:r>
            <w:r w:rsidR="00FA5311">
              <w:rPr>
                <w:rFonts w:ascii="Verdana" w:hAnsi="Verdana"/>
                <w:sz w:val="20"/>
                <w:szCs w:val="20"/>
              </w:rPr>
              <w:t>s profesionales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A3C52">
              <w:rPr>
                <w:rFonts w:ascii="Verdana" w:hAnsi="Verdana"/>
                <w:sz w:val="20"/>
                <w:szCs w:val="20"/>
              </w:rPr>
              <w:t>para la gestión del proye</w:t>
            </w:r>
            <w:r>
              <w:rPr>
                <w:rFonts w:ascii="Verdana" w:hAnsi="Verdana"/>
                <w:sz w:val="20"/>
                <w:szCs w:val="20"/>
              </w:rPr>
              <w:t>cto.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7C0BCAD" w14:textId="77777777" w:rsidR="006C7D70" w:rsidRDefault="006C7D70" w:rsidP="00C85BD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81301C1" w14:textId="209906DE" w:rsidR="001F6498" w:rsidRPr="009B7746" w:rsidRDefault="006C7D70" w:rsidP="003629E9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3) Consolidación Del Sistema </w:t>
            </w:r>
            <w:r w:rsidRPr="00C62003">
              <w:rPr>
                <w:rFonts w:ascii="Verdana" w:hAnsi="Verdana"/>
                <w:sz w:val="20"/>
                <w:szCs w:val="20"/>
              </w:rPr>
              <w:t>Nacional De Cooperación Internacional A Nivel Nacional</w:t>
            </w:r>
            <w:r>
              <w:rPr>
                <w:rFonts w:ascii="Verdana" w:hAnsi="Verdana"/>
                <w:sz w:val="20"/>
                <w:szCs w:val="20"/>
              </w:rPr>
              <w:t xml:space="preserve">, con el </w:t>
            </w:r>
            <w:r w:rsidR="003629E9">
              <w:rPr>
                <w:rFonts w:ascii="Verdana" w:hAnsi="Verdana"/>
                <w:sz w:val="20"/>
                <w:szCs w:val="20"/>
              </w:rPr>
              <w:t>3,75</w:t>
            </w:r>
            <w:r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3629E9">
              <w:rPr>
                <w:rFonts w:ascii="Verdana" w:hAnsi="Verdana"/>
                <w:sz w:val="20"/>
                <w:szCs w:val="20"/>
              </w:rPr>
              <w:t>427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3629E9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millones para el pago del servicio de </w:t>
            </w:r>
            <w:r w:rsidR="00B40417">
              <w:rPr>
                <w:rFonts w:ascii="Verdana" w:hAnsi="Verdana"/>
                <w:sz w:val="20"/>
                <w:szCs w:val="20"/>
              </w:rPr>
              <w:t>diez</w:t>
            </w:r>
            <w:r>
              <w:rPr>
                <w:rFonts w:ascii="Verdana" w:hAnsi="Verdana"/>
                <w:sz w:val="20"/>
                <w:szCs w:val="20"/>
              </w:rPr>
              <w:t xml:space="preserve"> profesional</w:t>
            </w:r>
            <w:r w:rsidR="003629E9">
              <w:rPr>
                <w:rFonts w:ascii="Verdana" w:hAnsi="Verdana"/>
                <w:sz w:val="20"/>
                <w:szCs w:val="20"/>
              </w:rPr>
              <w:t xml:space="preserve">es para la gestión del proyecto  y el contrato con </w:t>
            </w:r>
            <w:r w:rsidR="003629E9" w:rsidRPr="00B468A1">
              <w:rPr>
                <w:rFonts w:ascii="Verdana" w:hAnsi="Verdana"/>
                <w:sz w:val="20"/>
                <w:szCs w:val="20"/>
              </w:rPr>
              <w:t>Fénix Media Group</w:t>
            </w:r>
            <w:r w:rsidR="003629E9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68C0ADC5" w14:textId="77777777" w:rsidR="00CA4EC6" w:rsidRPr="003C58A7" w:rsidRDefault="00CA4EC6" w:rsidP="00B41CB3">
      <w:pPr>
        <w:jc w:val="center"/>
        <w:rPr>
          <w:rFonts w:ascii="Verdana" w:hAnsi="Verdana"/>
          <w:b/>
          <w:sz w:val="20"/>
          <w:szCs w:val="20"/>
        </w:rPr>
      </w:pPr>
    </w:p>
    <w:sectPr w:rsidR="00CA4EC6" w:rsidRPr="003C58A7" w:rsidSect="00FB3B05">
      <w:headerReference w:type="default" r:id="rId8"/>
      <w:footerReference w:type="default" r:id="rId9"/>
      <w:pgSz w:w="15840" w:h="12240" w:orient="landscape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BEDFD" w14:textId="77777777" w:rsidR="001A7C5F" w:rsidRDefault="001A7C5F" w:rsidP="000D42D2">
      <w:r>
        <w:separator/>
      </w:r>
    </w:p>
  </w:endnote>
  <w:endnote w:type="continuationSeparator" w:id="0">
    <w:p w14:paraId="4A68F574" w14:textId="77777777" w:rsidR="001A7C5F" w:rsidRDefault="001A7C5F" w:rsidP="000D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2A2E8" w14:textId="77777777" w:rsidR="00981DC4" w:rsidRDefault="003A11C2" w:rsidP="00B421C7">
    <w:pPr>
      <w:pStyle w:val="Piedepgina"/>
      <w:tabs>
        <w:tab w:val="clear" w:pos="4252"/>
        <w:tab w:val="clear" w:pos="8504"/>
        <w:tab w:val="left" w:pos="4138"/>
      </w:tabs>
    </w:pPr>
    <w:r>
      <w:rPr>
        <w:noProof/>
        <w:lang w:val="es-ES"/>
      </w:rPr>
      <w:drawing>
        <wp:anchor distT="0" distB="0" distL="114300" distR="114300" simplePos="0" relativeHeight="251666432" behindDoc="1" locked="0" layoutInCell="1" allowOverlap="1" wp14:anchorId="337E41CE" wp14:editId="0DAF49D7">
          <wp:simplePos x="0" y="0"/>
          <wp:positionH relativeFrom="column">
            <wp:posOffset>-881380</wp:posOffset>
          </wp:positionH>
          <wp:positionV relativeFrom="paragraph">
            <wp:posOffset>-285750</wp:posOffset>
          </wp:positionV>
          <wp:extent cx="10020300" cy="8953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castrillon:Documents:Logotipo APC-2018:PIEZAS:Hoja Carta:Formato-hoja carta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1C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E4D21" w14:textId="77777777" w:rsidR="001A7C5F" w:rsidRDefault="001A7C5F" w:rsidP="000D42D2">
      <w:r>
        <w:separator/>
      </w:r>
    </w:p>
  </w:footnote>
  <w:footnote w:type="continuationSeparator" w:id="0">
    <w:p w14:paraId="203BF72E" w14:textId="77777777" w:rsidR="001A7C5F" w:rsidRDefault="001A7C5F" w:rsidP="000D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732E2" w14:textId="77777777" w:rsidR="00981DC4" w:rsidRDefault="003A11C2" w:rsidP="00FB3B05">
    <w:pPr>
      <w:pStyle w:val="Encabezado"/>
      <w:tabs>
        <w:tab w:val="clear" w:pos="4252"/>
        <w:tab w:val="clear" w:pos="8504"/>
        <w:tab w:val="left" w:pos="2822"/>
      </w:tabs>
    </w:pPr>
    <w:r>
      <w:rPr>
        <w:noProof/>
        <w:lang w:val="es-ES"/>
      </w:rPr>
      <w:drawing>
        <wp:anchor distT="0" distB="0" distL="114300" distR="114300" simplePos="0" relativeHeight="251664384" behindDoc="1" locked="0" layoutInCell="1" allowOverlap="1" wp14:anchorId="000B2DE5" wp14:editId="47EC5846">
          <wp:simplePos x="0" y="0"/>
          <wp:positionH relativeFrom="column">
            <wp:posOffset>23495</wp:posOffset>
          </wp:positionH>
          <wp:positionV relativeFrom="paragraph">
            <wp:posOffset>-135890</wp:posOffset>
          </wp:positionV>
          <wp:extent cx="4057650" cy="633095"/>
          <wp:effectExtent l="0" t="0" r="0" b="0"/>
          <wp:wrapTight wrapText="bothSides">
            <wp:wrapPolygon edited="0">
              <wp:start x="0" y="0"/>
              <wp:lineTo x="0" y="20798"/>
              <wp:lineTo x="21499" y="20798"/>
              <wp:lineTo x="21499" y="0"/>
              <wp:lineTo x="0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370">
      <w:rPr>
        <w:rFonts w:ascii="Times New Roman" w:hAnsi="Times New Roman" w:cs="Times New Roman"/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03441B" wp14:editId="05589CA6">
              <wp:simplePos x="0" y="0"/>
              <wp:positionH relativeFrom="margin">
                <wp:posOffset>2332355</wp:posOffset>
              </wp:positionH>
              <wp:positionV relativeFrom="paragraph">
                <wp:posOffset>607060</wp:posOffset>
              </wp:positionV>
              <wp:extent cx="2593340" cy="176530"/>
              <wp:effectExtent l="0" t="0" r="0" b="508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073F5" w14:textId="77777777" w:rsidR="009B3370" w:rsidRDefault="009B3370" w:rsidP="009B3370">
                          <w:pPr>
                            <w:pStyle w:val="NormalWeb"/>
                            <w:tabs>
                              <w:tab w:val="center" w:pos="4419"/>
                              <w:tab w:val="right" w:pos="7655"/>
                              <w:tab w:val="right" w:pos="8838"/>
                            </w:tabs>
                            <w:rPr>
                              <w:rFonts w:ascii="Arial Narrow" w:eastAsiaTheme="minorHAnsi" w:hAnsi="Arial Narrow" w:cstheme="minorBidi"/>
                              <w:bCs/>
                              <w:sz w:val="1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103441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3.65pt;margin-top:47.8pt;width:204.2pt;height:13.9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" filled="f" stroked="f">
              <v:textbox style="mso-fit-shape-to-text:t">
                <w:txbxContent>
                  <w:p w14:paraId="18B073F5" w14:textId="77777777" w:rsidR="009B3370" w:rsidRDefault="009B3370" w:rsidP="009B3370">
                    <w:pPr>
                      <w:pStyle w:val="NormalWeb"/>
                      <w:tabs>
                        <w:tab w:val="center" w:pos="4419"/>
                        <w:tab w:val="right" w:pos="7655"/>
                        <w:tab w:val="right" w:pos="8838"/>
                      </w:tabs>
                      <w:rPr>
                        <w:rFonts w:ascii="Arial Narrow" w:eastAsiaTheme="minorHAnsi" w:hAnsi="Arial Narrow" w:cstheme="minorBidi"/>
                        <w:bCs/>
                        <w:sz w:val="14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B3B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229"/>
    <w:multiLevelType w:val="hybridMultilevel"/>
    <w:tmpl w:val="E7623E80"/>
    <w:lvl w:ilvl="0" w:tplc="F8C67702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498"/>
    <w:multiLevelType w:val="hybridMultilevel"/>
    <w:tmpl w:val="C0B69214"/>
    <w:lvl w:ilvl="0" w:tplc="7908C2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7636BA"/>
    <w:multiLevelType w:val="hybridMultilevel"/>
    <w:tmpl w:val="0B1A480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B667A"/>
    <w:multiLevelType w:val="hybridMultilevel"/>
    <w:tmpl w:val="95AECA1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4927"/>
    <w:multiLevelType w:val="hybridMultilevel"/>
    <w:tmpl w:val="2592D2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46A2F"/>
    <w:multiLevelType w:val="hybridMultilevel"/>
    <w:tmpl w:val="E68291C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BD616E"/>
    <w:multiLevelType w:val="hybridMultilevel"/>
    <w:tmpl w:val="34A86B9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2BA3"/>
    <w:multiLevelType w:val="hybridMultilevel"/>
    <w:tmpl w:val="B0E26F16"/>
    <w:lvl w:ilvl="0" w:tplc="2480CDB8">
      <w:start w:val="1"/>
      <w:numFmt w:val="decimal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F381F"/>
    <w:multiLevelType w:val="hybridMultilevel"/>
    <w:tmpl w:val="4112CC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139B4"/>
    <w:multiLevelType w:val="hybridMultilevel"/>
    <w:tmpl w:val="366E6A82"/>
    <w:lvl w:ilvl="0" w:tplc="2BCECB1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05023"/>
    <w:multiLevelType w:val="hybridMultilevel"/>
    <w:tmpl w:val="F042C28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17864"/>
    <w:multiLevelType w:val="hybridMultilevel"/>
    <w:tmpl w:val="C0E81EB4"/>
    <w:lvl w:ilvl="0" w:tplc="F50A3496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638B"/>
    <w:multiLevelType w:val="hybridMultilevel"/>
    <w:tmpl w:val="BD7A78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53EE6"/>
    <w:multiLevelType w:val="hybridMultilevel"/>
    <w:tmpl w:val="5F5EFB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34CAD"/>
    <w:multiLevelType w:val="hybridMultilevel"/>
    <w:tmpl w:val="F528BA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E2595"/>
    <w:multiLevelType w:val="hybridMultilevel"/>
    <w:tmpl w:val="091CF8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E5393"/>
    <w:multiLevelType w:val="hybridMultilevel"/>
    <w:tmpl w:val="47B450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609D0"/>
    <w:multiLevelType w:val="hybridMultilevel"/>
    <w:tmpl w:val="BF62CA1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E92446"/>
    <w:multiLevelType w:val="hybridMultilevel"/>
    <w:tmpl w:val="72047ECA"/>
    <w:lvl w:ilvl="0" w:tplc="240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73A4BAE"/>
    <w:multiLevelType w:val="hybridMultilevel"/>
    <w:tmpl w:val="CFD2329C"/>
    <w:lvl w:ilvl="0" w:tplc="2F5EB22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6002B"/>
    <w:multiLevelType w:val="hybridMultilevel"/>
    <w:tmpl w:val="518E12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D6E5D"/>
    <w:multiLevelType w:val="hybridMultilevel"/>
    <w:tmpl w:val="15A00C2A"/>
    <w:lvl w:ilvl="0" w:tplc="74A8D8B4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15"/>
  </w:num>
  <w:num w:numId="5">
    <w:abstractNumId w:val="16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4"/>
  </w:num>
  <w:num w:numId="12">
    <w:abstractNumId w:val="20"/>
  </w:num>
  <w:num w:numId="13">
    <w:abstractNumId w:val="19"/>
  </w:num>
  <w:num w:numId="14">
    <w:abstractNumId w:val="3"/>
  </w:num>
  <w:num w:numId="15">
    <w:abstractNumId w:val="17"/>
  </w:num>
  <w:num w:numId="16">
    <w:abstractNumId w:val="5"/>
  </w:num>
  <w:num w:numId="17">
    <w:abstractNumId w:val="11"/>
  </w:num>
  <w:num w:numId="18">
    <w:abstractNumId w:val="0"/>
  </w:num>
  <w:num w:numId="19">
    <w:abstractNumId w:val="9"/>
  </w:num>
  <w:num w:numId="20">
    <w:abstractNumId w:val="21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D2"/>
    <w:rsid w:val="00001159"/>
    <w:rsid w:val="0000129B"/>
    <w:rsid w:val="0000150E"/>
    <w:rsid w:val="00002183"/>
    <w:rsid w:val="000023EC"/>
    <w:rsid w:val="00002DBF"/>
    <w:rsid w:val="00007621"/>
    <w:rsid w:val="000101B6"/>
    <w:rsid w:val="00012B2E"/>
    <w:rsid w:val="000135D9"/>
    <w:rsid w:val="000145BA"/>
    <w:rsid w:val="000213C5"/>
    <w:rsid w:val="00021462"/>
    <w:rsid w:val="000239CD"/>
    <w:rsid w:val="000245A9"/>
    <w:rsid w:val="000258B2"/>
    <w:rsid w:val="000265A6"/>
    <w:rsid w:val="0003104B"/>
    <w:rsid w:val="00031AEF"/>
    <w:rsid w:val="000322FF"/>
    <w:rsid w:val="000327FA"/>
    <w:rsid w:val="00033284"/>
    <w:rsid w:val="0003383D"/>
    <w:rsid w:val="000345DF"/>
    <w:rsid w:val="00034819"/>
    <w:rsid w:val="000355ED"/>
    <w:rsid w:val="00036003"/>
    <w:rsid w:val="000363B7"/>
    <w:rsid w:val="000419AD"/>
    <w:rsid w:val="00041BCF"/>
    <w:rsid w:val="0004373C"/>
    <w:rsid w:val="00044C82"/>
    <w:rsid w:val="000455A0"/>
    <w:rsid w:val="00045732"/>
    <w:rsid w:val="00047B73"/>
    <w:rsid w:val="00052079"/>
    <w:rsid w:val="00052AB3"/>
    <w:rsid w:val="00052EE3"/>
    <w:rsid w:val="0005426F"/>
    <w:rsid w:val="00062CAB"/>
    <w:rsid w:val="00066FF6"/>
    <w:rsid w:val="000670E3"/>
    <w:rsid w:val="00070B9F"/>
    <w:rsid w:val="00072D5B"/>
    <w:rsid w:val="000756F0"/>
    <w:rsid w:val="00076094"/>
    <w:rsid w:val="00076138"/>
    <w:rsid w:val="0008212A"/>
    <w:rsid w:val="00083246"/>
    <w:rsid w:val="00084411"/>
    <w:rsid w:val="00084B60"/>
    <w:rsid w:val="0008702D"/>
    <w:rsid w:val="00087216"/>
    <w:rsid w:val="00087EB8"/>
    <w:rsid w:val="00090729"/>
    <w:rsid w:val="00091634"/>
    <w:rsid w:val="00091CF9"/>
    <w:rsid w:val="000944BB"/>
    <w:rsid w:val="00097F47"/>
    <w:rsid w:val="000A0797"/>
    <w:rsid w:val="000A0999"/>
    <w:rsid w:val="000A103A"/>
    <w:rsid w:val="000A338A"/>
    <w:rsid w:val="000A3642"/>
    <w:rsid w:val="000A3E20"/>
    <w:rsid w:val="000A58D8"/>
    <w:rsid w:val="000A6AED"/>
    <w:rsid w:val="000B10ED"/>
    <w:rsid w:val="000B4931"/>
    <w:rsid w:val="000B4CFF"/>
    <w:rsid w:val="000B688F"/>
    <w:rsid w:val="000C0F06"/>
    <w:rsid w:val="000C5C51"/>
    <w:rsid w:val="000C745E"/>
    <w:rsid w:val="000D0CCE"/>
    <w:rsid w:val="000D25B0"/>
    <w:rsid w:val="000D3334"/>
    <w:rsid w:val="000D3FEB"/>
    <w:rsid w:val="000D42D2"/>
    <w:rsid w:val="000D46E1"/>
    <w:rsid w:val="000E3954"/>
    <w:rsid w:val="000E4495"/>
    <w:rsid w:val="000E4B37"/>
    <w:rsid w:val="000E582D"/>
    <w:rsid w:val="000E7A76"/>
    <w:rsid w:val="000F00F2"/>
    <w:rsid w:val="000F097E"/>
    <w:rsid w:val="000F43E9"/>
    <w:rsid w:val="000F50CE"/>
    <w:rsid w:val="000F5F4F"/>
    <w:rsid w:val="000F74E7"/>
    <w:rsid w:val="00100B8A"/>
    <w:rsid w:val="00100BDB"/>
    <w:rsid w:val="001012B9"/>
    <w:rsid w:val="00103AEF"/>
    <w:rsid w:val="00103CD2"/>
    <w:rsid w:val="00104122"/>
    <w:rsid w:val="00104B75"/>
    <w:rsid w:val="0010548D"/>
    <w:rsid w:val="00106029"/>
    <w:rsid w:val="00110126"/>
    <w:rsid w:val="0011015F"/>
    <w:rsid w:val="001117A6"/>
    <w:rsid w:val="00112015"/>
    <w:rsid w:val="00112321"/>
    <w:rsid w:val="00113F88"/>
    <w:rsid w:val="001159B7"/>
    <w:rsid w:val="001160A3"/>
    <w:rsid w:val="00116FC5"/>
    <w:rsid w:val="0012070D"/>
    <w:rsid w:val="001208B7"/>
    <w:rsid w:val="001217CD"/>
    <w:rsid w:val="0012189C"/>
    <w:rsid w:val="00121948"/>
    <w:rsid w:val="00123A1A"/>
    <w:rsid w:val="00123DEA"/>
    <w:rsid w:val="001243F5"/>
    <w:rsid w:val="00124C7F"/>
    <w:rsid w:val="001251B0"/>
    <w:rsid w:val="00126649"/>
    <w:rsid w:val="00126F41"/>
    <w:rsid w:val="00127466"/>
    <w:rsid w:val="00130EF2"/>
    <w:rsid w:val="001358DD"/>
    <w:rsid w:val="001401CF"/>
    <w:rsid w:val="00143276"/>
    <w:rsid w:val="00144029"/>
    <w:rsid w:val="00144592"/>
    <w:rsid w:val="001447A3"/>
    <w:rsid w:val="00145653"/>
    <w:rsid w:val="00146065"/>
    <w:rsid w:val="00147638"/>
    <w:rsid w:val="00154350"/>
    <w:rsid w:val="00154641"/>
    <w:rsid w:val="00155E80"/>
    <w:rsid w:val="0015718A"/>
    <w:rsid w:val="001574A9"/>
    <w:rsid w:val="00160E5D"/>
    <w:rsid w:val="001620CE"/>
    <w:rsid w:val="001635AC"/>
    <w:rsid w:val="001644BB"/>
    <w:rsid w:val="001645D6"/>
    <w:rsid w:val="0016603E"/>
    <w:rsid w:val="00171DFF"/>
    <w:rsid w:val="00172997"/>
    <w:rsid w:val="00172CB9"/>
    <w:rsid w:val="001738E7"/>
    <w:rsid w:val="00176925"/>
    <w:rsid w:val="00177162"/>
    <w:rsid w:val="00181E6C"/>
    <w:rsid w:val="00182BFD"/>
    <w:rsid w:val="00182C5F"/>
    <w:rsid w:val="0018536E"/>
    <w:rsid w:val="0018636A"/>
    <w:rsid w:val="00190B4F"/>
    <w:rsid w:val="00192EC0"/>
    <w:rsid w:val="00195CB4"/>
    <w:rsid w:val="001968AE"/>
    <w:rsid w:val="00196AAC"/>
    <w:rsid w:val="00196D9B"/>
    <w:rsid w:val="001974EF"/>
    <w:rsid w:val="001A11F3"/>
    <w:rsid w:val="001A2C44"/>
    <w:rsid w:val="001A3E44"/>
    <w:rsid w:val="001A40CB"/>
    <w:rsid w:val="001A449D"/>
    <w:rsid w:val="001A58BC"/>
    <w:rsid w:val="001A5CE3"/>
    <w:rsid w:val="001A7A79"/>
    <w:rsid w:val="001A7C5F"/>
    <w:rsid w:val="001A7FF3"/>
    <w:rsid w:val="001B015C"/>
    <w:rsid w:val="001B14AF"/>
    <w:rsid w:val="001B1F16"/>
    <w:rsid w:val="001B2BED"/>
    <w:rsid w:val="001B4690"/>
    <w:rsid w:val="001B64CC"/>
    <w:rsid w:val="001B7049"/>
    <w:rsid w:val="001C0118"/>
    <w:rsid w:val="001C0F84"/>
    <w:rsid w:val="001C1F0E"/>
    <w:rsid w:val="001C2367"/>
    <w:rsid w:val="001C3F9F"/>
    <w:rsid w:val="001C53A2"/>
    <w:rsid w:val="001C725E"/>
    <w:rsid w:val="001D11D2"/>
    <w:rsid w:val="001D1D07"/>
    <w:rsid w:val="001D5307"/>
    <w:rsid w:val="001D7680"/>
    <w:rsid w:val="001E0801"/>
    <w:rsid w:val="001E1189"/>
    <w:rsid w:val="001E22C0"/>
    <w:rsid w:val="001E2EA5"/>
    <w:rsid w:val="001E4610"/>
    <w:rsid w:val="001E4FA5"/>
    <w:rsid w:val="001E5A6C"/>
    <w:rsid w:val="001E6568"/>
    <w:rsid w:val="001E6F30"/>
    <w:rsid w:val="001E7DFA"/>
    <w:rsid w:val="001F5002"/>
    <w:rsid w:val="001F5213"/>
    <w:rsid w:val="001F6498"/>
    <w:rsid w:val="001F6745"/>
    <w:rsid w:val="00203FD4"/>
    <w:rsid w:val="00205C13"/>
    <w:rsid w:val="00205D21"/>
    <w:rsid w:val="00206E99"/>
    <w:rsid w:val="00211E13"/>
    <w:rsid w:val="00212C54"/>
    <w:rsid w:val="00212D93"/>
    <w:rsid w:val="00213397"/>
    <w:rsid w:val="00213C4B"/>
    <w:rsid w:val="00216932"/>
    <w:rsid w:val="0022076C"/>
    <w:rsid w:val="00220BAC"/>
    <w:rsid w:val="0022316E"/>
    <w:rsid w:val="0022342E"/>
    <w:rsid w:val="00224892"/>
    <w:rsid w:val="0023060C"/>
    <w:rsid w:val="00232C17"/>
    <w:rsid w:val="00234513"/>
    <w:rsid w:val="00234E57"/>
    <w:rsid w:val="002354E5"/>
    <w:rsid w:val="00237829"/>
    <w:rsid w:val="00241F24"/>
    <w:rsid w:val="00243D5E"/>
    <w:rsid w:val="00244DF6"/>
    <w:rsid w:val="00244E97"/>
    <w:rsid w:val="002457D5"/>
    <w:rsid w:val="00245D35"/>
    <w:rsid w:val="00246011"/>
    <w:rsid w:val="00246760"/>
    <w:rsid w:val="00247819"/>
    <w:rsid w:val="0025037B"/>
    <w:rsid w:val="00250DE8"/>
    <w:rsid w:val="00251D5A"/>
    <w:rsid w:val="00251F73"/>
    <w:rsid w:val="00254694"/>
    <w:rsid w:val="00254A0E"/>
    <w:rsid w:val="00255E96"/>
    <w:rsid w:val="002571E7"/>
    <w:rsid w:val="0026092F"/>
    <w:rsid w:val="00264608"/>
    <w:rsid w:val="00265A04"/>
    <w:rsid w:val="00265D9B"/>
    <w:rsid w:val="0027249A"/>
    <w:rsid w:val="00273008"/>
    <w:rsid w:val="00274952"/>
    <w:rsid w:val="00274FB5"/>
    <w:rsid w:val="002758E6"/>
    <w:rsid w:val="002762E5"/>
    <w:rsid w:val="002772EE"/>
    <w:rsid w:val="00277378"/>
    <w:rsid w:val="00283B0B"/>
    <w:rsid w:val="00284182"/>
    <w:rsid w:val="00286DF3"/>
    <w:rsid w:val="002876A6"/>
    <w:rsid w:val="00291F1C"/>
    <w:rsid w:val="002926C1"/>
    <w:rsid w:val="00292784"/>
    <w:rsid w:val="00293476"/>
    <w:rsid w:val="00296429"/>
    <w:rsid w:val="00296A70"/>
    <w:rsid w:val="002A0D37"/>
    <w:rsid w:val="002A1602"/>
    <w:rsid w:val="002A2023"/>
    <w:rsid w:val="002A240D"/>
    <w:rsid w:val="002A3D8F"/>
    <w:rsid w:val="002A6251"/>
    <w:rsid w:val="002A6F64"/>
    <w:rsid w:val="002B1293"/>
    <w:rsid w:val="002B13F8"/>
    <w:rsid w:val="002B1F8C"/>
    <w:rsid w:val="002B2795"/>
    <w:rsid w:val="002B3F03"/>
    <w:rsid w:val="002B435B"/>
    <w:rsid w:val="002B4E41"/>
    <w:rsid w:val="002B6279"/>
    <w:rsid w:val="002B6891"/>
    <w:rsid w:val="002B7882"/>
    <w:rsid w:val="002B7AF6"/>
    <w:rsid w:val="002B7C0A"/>
    <w:rsid w:val="002C4438"/>
    <w:rsid w:val="002C483A"/>
    <w:rsid w:val="002C5256"/>
    <w:rsid w:val="002C53DD"/>
    <w:rsid w:val="002C63AF"/>
    <w:rsid w:val="002D03FC"/>
    <w:rsid w:val="002D0C5C"/>
    <w:rsid w:val="002D4564"/>
    <w:rsid w:val="002D4C07"/>
    <w:rsid w:val="002D5316"/>
    <w:rsid w:val="002D5AE0"/>
    <w:rsid w:val="002D6765"/>
    <w:rsid w:val="002D6DF6"/>
    <w:rsid w:val="002E19CE"/>
    <w:rsid w:val="002F06C2"/>
    <w:rsid w:val="002F433E"/>
    <w:rsid w:val="002F4FDB"/>
    <w:rsid w:val="002F531E"/>
    <w:rsid w:val="002F77CB"/>
    <w:rsid w:val="00302CBA"/>
    <w:rsid w:val="0030355A"/>
    <w:rsid w:val="003074AA"/>
    <w:rsid w:val="003110C1"/>
    <w:rsid w:val="00313B5F"/>
    <w:rsid w:val="00315431"/>
    <w:rsid w:val="00315643"/>
    <w:rsid w:val="00316E86"/>
    <w:rsid w:val="00321E7F"/>
    <w:rsid w:val="00324055"/>
    <w:rsid w:val="00324FBA"/>
    <w:rsid w:val="00326A4A"/>
    <w:rsid w:val="00326F9E"/>
    <w:rsid w:val="00330D08"/>
    <w:rsid w:val="00331583"/>
    <w:rsid w:val="0033305E"/>
    <w:rsid w:val="00333A74"/>
    <w:rsid w:val="00333AF5"/>
    <w:rsid w:val="003353FB"/>
    <w:rsid w:val="003357D2"/>
    <w:rsid w:val="00341497"/>
    <w:rsid w:val="00342BC9"/>
    <w:rsid w:val="00344DCE"/>
    <w:rsid w:val="00347499"/>
    <w:rsid w:val="0034775A"/>
    <w:rsid w:val="00350551"/>
    <w:rsid w:val="00353B9A"/>
    <w:rsid w:val="00355DFC"/>
    <w:rsid w:val="003629E9"/>
    <w:rsid w:val="00363008"/>
    <w:rsid w:val="00363BED"/>
    <w:rsid w:val="003656E7"/>
    <w:rsid w:val="00365E78"/>
    <w:rsid w:val="0036641A"/>
    <w:rsid w:val="0037032C"/>
    <w:rsid w:val="003725D8"/>
    <w:rsid w:val="00374439"/>
    <w:rsid w:val="003754DB"/>
    <w:rsid w:val="00375F1F"/>
    <w:rsid w:val="0037712E"/>
    <w:rsid w:val="003775DA"/>
    <w:rsid w:val="00380F49"/>
    <w:rsid w:val="00382221"/>
    <w:rsid w:val="003827F0"/>
    <w:rsid w:val="00382C70"/>
    <w:rsid w:val="00383069"/>
    <w:rsid w:val="00383503"/>
    <w:rsid w:val="00384BA9"/>
    <w:rsid w:val="003879A1"/>
    <w:rsid w:val="00391F15"/>
    <w:rsid w:val="00392FD5"/>
    <w:rsid w:val="00395614"/>
    <w:rsid w:val="0039662D"/>
    <w:rsid w:val="003966EE"/>
    <w:rsid w:val="00396EBF"/>
    <w:rsid w:val="00396EFB"/>
    <w:rsid w:val="00397300"/>
    <w:rsid w:val="00397826"/>
    <w:rsid w:val="003A0145"/>
    <w:rsid w:val="003A070E"/>
    <w:rsid w:val="003A09C5"/>
    <w:rsid w:val="003A11C2"/>
    <w:rsid w:val="003A31FA"/>
    <w:rsid w:val="003A3C1F"/>
    <w:rsid w:val="003A50F2"/>
    <w:rsid w:val="003A5684"/>
    <w:rsid w:val="003A5F8C"/>
    <w:rsid w:val="003A6701"/>
    <w:rsid w:val="003A6AFB"/>
    <w:rsid w:val="003A742D"/>
    <w:rsid w:val="003B19A9"/>
    <w:rsid w:val="003B4098"/>
    <w:rsid w:val="003B44FE"/>
    <w:rsid w:val="003B61E7"/>
    <w:rsid w:val="003B73DB"/>
    <w:rsid w:val="003C118D"/>
    <w:rsid w:val="003C330C"/>
    <w:rsid w:val="003C396A"/>
    <w:rsid w:val="003C4D32"/>
    <w:rsid w:val="003C51CF"/>
    <w:rsid w:val="003C58A7"/>
    <w:rsid w:val="003C5BB3"/>
    <w:rsid w:val="003C6BE9"/>
    <w:rsid w:val="003C76D4"/>
    <w:rsid w:val="003C7ECA"/>
    <w:rsid w:val="003D267A"/>
    <w:rsid w:val="003D28B1"/>
    <w:rsid w:val="003D3D42"/>
    <w:rsid w:val="003D528E"/>
    <w:rsid w:val="003D52A5"/>
    <w:rsid w:val="003D6889"/>
    <w:rsid w:val="003D76DD"/>
    <w:rsid w:val="003D7739"/>
    <w:rsid w:val="003D79E0"/>
    <w:rsid w:val="003D7C1A"/>
    <w:rsid w:val="003E01B6"/>
    <w:rsid w:val="003E10C8"/>
    <w:rsid w:val="003E17AF"/>
    <w:rsid w:val="003E351F"/>
    <w:rsid w:val="003E42EA"/>
    <w:rsid w:val="003F06C2"/>
    <w:rsid w:val="003F0AD5"/>
    <w:rsid w:val="003F2322"/>
    <w:rsid w:val="003F246B"/>
    <w:rsid w:val="003F27E7"/>
    <w:rsid w:val="003F347F"/>
    <w:rsid w:val="003F607B"/>
    <w:rsid w:val="00404E97"/>
    <w:rsid w:val="00411873"/>
    <w:rsid w:val="00412D82"/>
    <w:rsid w:val="00413E0C"/>
    <w:rsid w:val="00415A61"/>
    <w:rsid w:val="004162C2"/>
    <w:rsid w:val="0042533F"/>
    <w:rsid w:val="00425BBC"/>
    <w:rsid w:val="00426BF5"/>
    <w:rsid w:val="00426D3A"/>
    <w:rsid w:val="00427DCD"/>
    <w:rsid w:val="004339F0"/>
    <w:rsid w:val="004346C7"/>
    <w:rsid w:val="00434987"/>
    <w:rsid w:val="00434D94"/>
    <w:rsid w:val="004364CC"/>
    <w:rsid w:val="00441C38"/>
    <w:rsid w:val="00443E32"/>
    <w:rsid w:val="004440F8"/>
    <w:rsid w:val="004442B1"/>
    <w:rsid w:val="0044552A"/>
    <w:rsid w:val="00450097"/>
    <w:rsid w:val="004506C0"/>
    <w:rsid w:val="004509FE"/>
    <w:rsid w:val="0045189C"/>
    <w:rsid w:val="00451D8B"/>
    <w:rsid w:val="00451DC9"/>
    <w:rsid w:val="004536BA"/>
    <w:rsid w:val="00453ED1"/>
    <w:rsid w:val="00455F72"/>
    <w:rsid w:val="00456CE5"/>
    <w:rsid w:val="00460C08"/>
    <w:rsid w:val="004624AB"/>
    <w:rsid w:val="0046420F"/>
    <w:rsid w:val="00464CE7"/>
    <w:rsid w:val="004672AF"/>
    <w:rsid w:val="00470513"/>
    <w:rsid w:val="00470F59"/>
    <w:rsid w:val="00474DCA"/>
    <w:rsid w:val="00474FBD"/>
    <w:rsid w:val="004757DE"/>
    <w:rsid w:val="00475859"/>
    <w:rsid w:val="00476DFF"/>
    <w:rsid w:val="004775B7"/>
    <w:rsid w:val="004779AA"/>
    <w:rsid w:val="00480F2E"/>
    <w:rsid w:val="00481B46"/>
    <w:rsid w:val="00482E4C"/>
    <w:rsid w:val="00483329"/>
    <w:rsid w:val="00483E61"/>
    <w:rsid w:val="00485CA6"/>
    <w:rsid w:val="00490246"/>
    <w:rsid w:val="00490925"/>
    <w:rsid w:val="00491107"/>
    <w:rsid w:val="0049188E"/>
    <w:rsid w:val="00491D45"/>
    <w:rsid w:val="00493ADA"/>
    <w:rsid w:val="004946BE"/>
    <w:rsid w:val="00494F72"/>
    <w:rsid w:val="004952EB"/>
    <w:rsid w:val="00496035"/>
    <w:rsid w:val="00496162"/>
    <w:rsid w:val="004969E0"/>
    <w:rsid w:val="004A125D"/>
    <w:rsid w:val="004A21C2"/>
    <w:rsid w:val="004A25FD"/>
    <w:rsid w:val="004A313B"/>
    <w:rsid w:val="004A5F54"/>
    <w:rsid w:val="004A6740"/>
    <w:rsid w:val="004A6809"/>
    <w:rsid w:val="004A6F38"/>
    <w:rsid w:val="004B0727"/>
    <w:rsid w:val="004B35F0"/>
    <w:rsid w:val="004B5269"/>
    <w:rsid w:val="004C43E8"/>
    <w:rsid w:val="004C471E"/>
    <w:rsid w:val="004C5B4B"/>
    <w:rsid w:val="004C6454"/>
    <w:rsid w:val="004D29CE"/>
    <w:rsid w:val="004D29D4"/>
    <w:rsid w:val="004D51DB"/>
    <w:rsid w:val="004D5329"/>
    <w:rsid w:val="004D5344"/>
    <w:rsid w:val="004D5B1A"/>
    <w:rsid w:val="004D66CC"/>
    <w:rsid w:val="004D71C5"/>
    <w:rsid w:val="004E2C60"/>
    <w:rsid w:val="004E301F"/>
    <w:rsid w:val="004E390C"/>
    <w:rsid w:val="004E4201"/>
    <w:rsid w:val="004E52EC"/>
    <w:rsid w:val="004E5B75"/>
    <w:rsid w:val="004E6A4F"/>
    <w:rsid w:val="004F169C"/>
    <w:rsid w:val="004F2CF7"/>
    <w:rsid w:val="004F2FC9"/>
    <w:rsid w:val="004F6CA7"/>
    <w:rsid w:val="004F7677"/>
    <w:rsid w:val="004F7D1E"/>
    <w:rsid w:val="005021C4"/>
    <w:rsid w:val="005035AC"/>
    <w:rsid w:val="00503632"/>
    <w:rsid w:val="00503875"/>
    <w:rsid w:val="00503B17"/>
    <w:rsid w:val="0050461D"/>
    <w:rsid w:val="00506081"/>
    <w:rsid w:val="00506639"/>
    <w:rsid w:val="005110AE"/>
    <w:rsid w:val="00511E8C"/>
    <w:rsid w:val="00512D3D"/>
    <w:rsid w:val="005130AA"/>
    <w:rsid w:val="005137E7"/>
    <w:rsid w:val="00514817"/>
    <w:rsid w:val="00514D4B"/>
    <w:rsid w:val="0051568B"/>
    <w:rsid w:val="00516FBD"/>
    <w:rsid w:val="00517D33"/>
    <w:rsid w:val="00517EEF"/>
    <w:rsid w:val="00520853"/>
    <w:rsid w:val="00520F26"/>
    <w:rsid w:val="00522588"/>
    <w:rsid w:val="005238A0"/>
    <w:rsid w:val="00524876"/>
    <w:rsid w:val="00524F43"/>
    <w:rsid w:val="00525787"/>
    <w:rsid w:val="005274AA"/>
    <w:rsid w:val="00527BBB"/>
    <w:rsid w:val="00527C49"/>
    <w:rsid w:val="0053199E"/>
    <w:rsid w:val="00532ACA"/>
    <w:rsid w:val="005341C8"/>
    <w:rsid w:val="005365D4"/>
    <w:rsid w:val="00536711"/>
    <w:rsid w:val="00541CCA"/>
    <w:rsid w:val="00543E04"/>
    <w:rsid w:val="00545594"/>
    <w:rsid w:val="00551A00"/>
    <w:rsid w:val="005536DB"/>
    <w:rsid w:val="00554D2D"/>
    <w:rsid w:val="00554E60"/>
    <w:rsid w:val="00555FD5"/>
    <w:rsid w:val="005572D7"/>
    <w:rsid w:val="00557A65"/>
    <w:rsid w:val="00557C55"/>
    <w:rsid w:val="00560B40"/>
    <w:rsid w:val="00563092"/>
    <w:rsid w:val="00563108"/>
    <w:rsid w:val="00567A1B"/>
    <w:rsid w:val="00570CDD"/>
    <w:rsid w:val="005719BB"/>
    <w:rsid w:val="005745D3"/>
    <w:rsid w:val="005756B9"/>
    <w:rsid w:val="005778FA"/>
    <w:rsid w:val="00580B9A"/>
    <w:rsid w:val="00580D94"/>
    <w:rsid w:val="00582BF7"/>
    <w:rsid w:val="00585E78"/>
    <w:rsid w:val="00586E06"/>
    <w:rsid w:val="00587024"/>
    <w:rsid w:val="00590D81"/>
    <w:rsid w:val="00591FA8"/>
    <w:rsid w:val="00593ABA"/>
    <w:rsid w:val="00596ADE"/>
    <w:rsid w:val="00597680"/>
    <w:rsid w:val="005A10B1"/>
    <w:rsid w:val="005A2D3C"/>
    <w:rsid w:val="005A7311"/>
    <w:rsid w:val="005A7EFE"/>
    <w:rsid w:val="005B07E5"/>
    <w:rsid w:val="005B335D"/>
    <w:rsid w:val="005B6BF7"/>
    <w:rsid w:val="005C3277"/>
    <w:rsid w:val="005C4D3A"/>
    <w:rsid w:val="005C537F"/>
    <w:rsid w:val="005C53B3"/>
    <w:rsid w:val="005C6968"/>
    <w:rsid w:val="005C7AFC"/>
    <w:rsid w:val="005D0418"/>
    <w:rsid w:val="005D13E1"/>
    <w:rsid w:val="005D25DE"/>
    <w:rsid w:val="005D31F7"/>
    <w:rsid w:val="005D5AF0"/>
    <w:rsid w:val="005E19B2"/>
    <w:rsid w:val="005E20B2"/>
    <w:rsid w:val="005E3DCF"/>
    <w:rsid w:val="005E44A1"/>
    <w:rsid w:val="005E47F8"/>
    <w:rsid w:val="005E5147"/>
    <w:rsid w:val="005E5D27"/>
    <w:rsid w:val="005F111F"/>
    <w:rsid w:val="005F2329"/>
    <w:rsid w:val="005F2676"/>
    <w:rsid w:val="005F2DA8"/>
    <w:rsid w:val="005F2E51"/>
    <w:rsid w:val="005F33AD"/>
    <w:rsid w:val="005F4792"/>
    <w:rsid w:val="005F4974"/>
    <w:rsid w:val="00602145"/>
    <w:rsid w:val="00602376"/>
    <w:rsid w:val="0060351C"/>
    <w:rsid w:val="006056D1"/>
    <w:rsid w:val="00606BC1"/>
    <w:rsid w:val="006108A7"/>
    <w:rsid w:val="00610F4C"/>
    <w:rsid w:val="00613D78"/>
    <w:rsid w:val="00614AB4"/>
    <w:rsid w:val="0061622B"/>
    <w:rsid w:val="00616429"/>
    <w:rsid w:val="006202C0"/>
    <w:rsid w:val="006205BE"/>
    <w:rsid w:val="00620ACB"/>
    <w:rsid w:val="00620F4E"/>
    <w:rsid w:val="00621155"/>
    <w:rsid w:val="006234DD"/>
    <w:rsid w:val="0062575E"/>
    <w:rsid w:val="0062605D"/>
    <w:rsid w:val="00626B58"/>
    <w:rsid w:val="00630359"/>
    <w:rsid w:val="00632BEA"/>
    <w:rsid w:val="00632EB4"/>
    <w:rsid w:val="0063415E"/>
    <w:rsid w:val="00634DFF"/>
    <w:rsid w:val="006405B6"/>
    <w:rsid w:val="00640E25"/>
    <w:rsid w:val="00641F37"/>
    <w:rsid w:val="00642AF1"/>
    <w:rsid w:val="00643AEE"/>
    <w:rsid w:val="00643D4C"/>
    <w:rsid w:val="006443FF"/>
    <w:rsid w:val="00646C89"/>
    <w:rsid w:val="00646E73"/>
    <w:rsid w:val="00650479"/>
    <w:rsid w:val="006506F8"/>
    <w:rsid w:val="006519A2"/>
    <w:rsid w:val="00655D12"/>
    <w:rsid w:val="00656887"/>
    <w:rsid w:val="006569CD"/>
    <w:rsid w:val="00660493"/>
    <w:rsid w:val="00661833"/>
    <w:rsid w:val="00662FF4"/>
    <w:rsid w:val="0066457B"/>
    <w:rsid w:val="00664647"/>
    <w:rsid w:val="00665796"/>
    <w:rsid w:val="006661AB"/>
    <w:rsid w:val="00666439"/>
    <w:rsid w:val="006667C2"/>
    <w:rsid w:val="0066729B"/>
    <w:rsid w:val="00675F77"/>
    <w:rsid w:val="0067778C"/>
    <w:rsid w:val="00681998"/>
    <w:rsid w:val="00681E91"/>
    <w:rsid w:val="0068206C"/>
    <w:rsid w:val="00682671"/>
    <w:rsid w:val="0068481A"/>
    <w:rsid w:val="0068498A"/>
    <w:rsid w:val="00686DAB"/>
    <w:rsid w:val="00690101"/>
    <w:rsid w:val="0069104E"/>
    <w:rsid w:val="0069199D"/>
    <w:rsid w:val="00691C73"/>
    <w:rsid w:val="00692442"/>
    <w:rsid w:val="00693F2D"/>
    <w:rsid w:val="006940D4"/>
    <w:rsid w:val="0069547B"/>
    <w:rsid w:val="0069630A"/>
    <w:rsid w:val="006A0B0B"/>
    <w:rsid w:val="006A1FA4"/>
    <w:rsid w:val="006A6DAD"/>
    <w:rsid w:val="006A72E5"/>
    <w:rsid w:val="006B02C1"/>
    <w:rsid w:val="006B077F"/>
    <w:rsid w:val="006B117F"/>
    <w:rsid w:val="006B118E"/>
    <w:rsid w:val="006B264B"/>
    <w:rsid w:val="006B3A96"/>
    <w:rsid w:val="006B3C37"/>
    <w:rsid w:val="006B6936"/>
    <w:rsid w:val="006C12E6"/>
    <w:rsid w:val="006C17AC"/>
    <w:rsid w:val="006C45AF"/>
    <w:rsid w:val="006C4905"/>
    <w:rsid w:val="006C49C9"/>
    <w:rsid w:val="006C5C8F"/>
    <w:rsid w:val="006C6596"/>
    <w:rsid w:val="006C6602"/>
    <w:rsid w:val="006C6FC4"/>
    <w:rsid w:val="006C7D70"/>
    <w:rsid w:val="006D06D0"/>
    <w:rsid w:val="006D212E"/>
    <w:rsid w:val="006D28ED"/>
    <w:rsid w:val="006D3B6D"/>
    <w:rsid w:val="006D42A7"/>
    <w:rsid w:val="006D4D50"/>
    <w:rsid w:val="006D5C8A"/>
    <w:rsid w:val="006D72F7"/>
    <w:rsid w:val="006D7DA5"/>
    <w:rsid w:val="006D7E6A"/>
    <w:rsid w:val="006E3D99"/>
    <w:rsid w:val="006E474C"/>
    <w:rsid w:val="006E5426"/>
    <w:rsid w:val="006E6210"/>
    <w:rsid w:val="006F0197"/>
    <w:rsid w:val="006F09BE"/>
    <w:rsid w:val="006F19B4"/>
    <w:rsid w:val="006F575C"/>
    <w:rsid w:val="006F65B6"/>
    <w:rsid w:val="006F6B3B"/>
    <w:rsid w:val="00700126"/>
    <w:rsid w:val="007010AA"/>
    <w:rsid w:val="00702486"/>
    <w:rsid w:val="00703DFC"/>
    <w:rsid w:val="007046F3"/>
    <w:rsid w:val="0070592A"/>
    <w:rsid w:val="0070599D"/>
    <w:rsid w:val="0070653C"/>
    <w:rsid w:val="00707190"/>
    <w:rsid w:val="007077BA"/>
    <w:rsid w:val="00710A58"/>
    <w:rsid w:val="0071441B"/>
    <w:rsid w:val="00715E7A"/>
    <w:rsid w:val="00716E8C"/>
    <w:rsid w:val="00720283"/>
    <w:rsid w:val="00720A15"/>
    <w:rsid w:val="007233EF"/>
    <w:rsid w:val="007278B8"/>
    <w:rsid w:val="0073047C"/>
    <w:rsid w:val="007309D3"/>
    <w:rsid w:val="00733BB9"/>
    <w:rsid w:val="00733F8C"/>
    <w:rsid w:val="00737395"/>
    <w:rsid w:val="00742087"/>
    <w:rsid w:val="007421FA"/>
    <w:rsid w:val="007431B2"/>
    <w:rsid w:val="007442ED"/>
    <w:rsid w:val="00746AE6"/>
    <w:rsid w:val="00747139"/>
    <w:rsid w:val="007522F9"/>
    <w:rsid w:val="00754541"/>
    <w:rsid w:val="00757E1D"/>
    <w:rsid w:val="007615D8"/>
    <w:rsid w:val="007647E4"/>
    <w:rsid w:val="0076550A"/>
    <w:rsid w:val="00765BF5"/>
    <w:rsid w:val="00766002"/>
    <w:rsid w:val="007666A5"/>
    <w:rsid w:val="00766E71"/>
    <w:rsid w:val="00770204"/>
    <w:rsid w:val="00770645"/>
    <w:rsid w:val="00771EB0"/>
    <w:rsid w:val="00780190"/>
    <w:rsid w:val="00781219"/>
    <w:rsid w:val="00781EFA"/>
    <w:rsid w:val="00783C2E"/>
    <w:rsid w:val="00784A24"/>
    <w:rsid w:val="00784C1B"/>
    <w:rsid w:val="00787B20"/>
    <w:rsid w:val="00790E69"/>
    <w:rsid w:val="007942B4"/>
    <w:rsid w:val="00795678"/>
    <w:rsid w:val="00796CA4"/>
    <w:rsid w:val="007A133C"/>
    <w:rsid w:val="007A24B7"/>
    <w:rsid w:val="007A2DEB"/>
    <w:rsid w:val="007A4236"/>
    <w:rsid w:val="007A432B"/>
    <w:rsid w:val="007A5B9B"/>
    <w:rsid w:val="007A5C10"/>
    <w:rsid w:val="007A6E7B"/>
    <w:rsid w:val="007A73B4"/>
    <w:rsid w:val="007A75CE"/>
    <w:rsid w:val="007B096C"/>
    <w:rsid w:val="007B19CC"/>
    <w:rsid w:val="007B2A21"/>
    <w:rsid w:val="007B376F"/>
    <w:rsid w:val="007B3FC8"/>
    <w:rsid w:val="007B4631"/>
    <w:rsid w:val="007B6623"/>
    <w:rsid w:val="007B7B33"/>
    <w:rsid w:val="007C1270"/>
    <w:rsid w:val="007C13FE"/>
    <w:rsid w:val="007C5CF8"/>
    <w:rsid w:val="007C681E"/>
    <w:rsid w:val="007C7EC8"/>
    <w:rsid w:val="007D2AE8"/>
    <w:rsid w:val="007D2E8C"/>
    <w:rsid w:val="007D2EA0"/>
    <w:rsid w:val="007D4BD3"/>
    <w:rsid w:val="007E12A2"/>
    <w:rsid w:val="007E49F5"/>
    <w:rsid w:val="007E558C"/>
    <w:rsid w:val="007E578F"/>
    <w:rsid w:val="007E5ED6"/>
    <w:rsid w:val="007F5943"/>
    <w:rsid w:val="007F6246"/>
    <w:rsid w:val="007F7CBA"/>
    <w:rsid w:val="0080087B"/>
    <w:rsid w:val="008019E9"/>
    <w:rsid w:val="008043F3"/>
    <w:rsid w:val="0080614B"/>
    <w:rsid w:val="00806624"/>
    <w:rsid w:val="008110D5"/>
    <w:rsid w:val="008126D2"/>
    <w:rsid w:val="00814E4A"/>
    <w:rsid w:val="0081521A"/>
    <w:rsid w:val="00817315"/>
    <w:rsid w:val="00817550"/>
    <w:rsid w:val="00822E8E"/>
    <w:rsid w:val="0082384C"/>
    <w:rsid w:val="00823DC7"/>
    <w:rsid w:val="00826459"/>
    <w:rsid w:val="00830626"/>
    <w:rsid w:val="00832C33"/>
    <w:rsid w:val="008331F0"/>
    <w:rsid w:val="00835333"/>
    <w:rsid w:val="00835ED4"/>
    <w:rsid w:val="0083624A"/>
    <w:rsid w:val="00847A9C"/>
    <w:rsid w:val="00852D62"/>
    <w:rsid w:val="00855C99"/>
    <w:rsid w:val="008569B0"/>
    <w:rsid w:val="00857271"/>
    <w:rsid w:val="00857585"/>
    <w:rsid w:val="0085799A"/>
    <w:rsid w:val="00860A9A"/>
    <w:rsid w:val="00861520"/>
    <w:rsid w:val="00863139"/>
    <w:rsid w:val="00867334"/>
    <w:rsid w:val="008713CF"/>
    <w:rsid w:val="008730C9"/>
    <w:rsid w:val="00873972"/>
    <w:rsid w:val="00874665"/>
    <w:rsid w:val="00875CA8"/>
    <w:rsid w:val="0088042F"/>
    <w:rsid w:val="00880B9E"/>
    <w:rsid w:val="00882B57"/>
    <w:rsid w:val="00882C72"/>
    <w:rsid w:val="00883828"/>
    <w:rsid w:val="00883BD6"/>
    <w:rsid w:val="00885F1C"/>
    <w:rsid w:val="008871CC"/>
    <w:rsid w:val="00887400"/>
    <w:rsid w:val="008878B0"/>
    <w:rsid w:val="00890AC4"/>
    <w:rsid w:val="00890FFD"/>
    <w:rsid w:val="0089384C"/>
    <w:rsid w:val="0089644D"/>
    <w:rsid w:val="00897854"/>
    <w:rsid w:val="00897DA9"/>
    <w:rsid w:val="008A095F"/>
    <w:rsid w:val="008A17FC"/>
    <w:rsid w:val="008A263B"/>
    <w:rsid w:val="008A5C5C"/>
    <w:rsid w:val="008A6D46"/>
    <w:rsid w:val="008A74F6"/>
    <w:rsid w:val="008B50AC"/>
    <w:rsid w:val="008B6A07"/>
    <w:rsid w:val="008C2401"/>
    <w:rsid w:val="008C2EE1"/>
    <w:rsid w:val="008C3868"/>
    <w:rsid w:val="008C5467"/>
    <w:rsid w:val="008C7D14"/>
    <w:rsid w:val="008D1343"/>
    <w:rsid w:val="008D15FC"/>
    <w:rsid w:val="008D5569"/>
    <w:rsid w:val="008D77E1"/>
    <w:rsid w:val="008E11DE"/>
    <w:rsid w:val="008E21DE"/>
    <w:rsid w:val="008E4D60"/>
    <w:rsid w:val="008E5D9A"/>
    <w:rsid w:val="008E618D"/>
    <w:rsid w:val="008F36AA"/>
    <w:rsid w:val="008F39D9"/>
    <w:rsid w:val="008F4F34"/>
    <w:rsid w:val="008F54E2"/>
    <w:rsid w:val="008F671A"/>
    <w:rsid w:val="008F7017"/>
    <w:rsid w:val="009005D4"/>
    <w:rsid w:val="00900CB3"/>
    <w:rsid w:val="00901D04"/>
    <w:rsid w:val="0090565B"/>
    <w:rsid w:val="00906A14"/>
    <w:rsid w:val="00907707"/>
    <w:rsid w:val="00907A75"/>
    <w:rsid w:val="00913E05"/>
    <w:rsid w:val="00914F6E"/>
    <w:rsid w:val="00915819"/>
    <w:rsid w:val="009208F0"/>
    <w:rsid w:val="009213E9"/>
    <w:rsid w:val="00921412"/>
    <w:rsid w:val="00921434"/>
    <w:rsid w:val="009222A3"/>
    <w:rsid w:val="0092257A"/>
    <w:rsid w:val="00924021"/>
    <w:rsid w:val="00924DE1"/>
    <w:rsid w:val="009257B2"/>
    <w:rsid w:val="00925823"/>
    <w:rsid w:val="00925A4A"/>
    <w:rsid w:val="0093060D"/>
    <w:rsid w:val="009317F0"/>
    <w:rsid w:val="00931C98"/>
    <w:rsid w:val="00931D82"/>
    <w:rsid w:val="00932E14"/>
    <w:rsid w:val="009331E5"/>
    <w:rsid w:val="009343CE"/>
    <w:rsid w:val="00935E8F"/>
    <w:rsid w:val="0093612B"/>
    <w:rsid w:val="00936451"/>
    <w:rsid w:val="00937FFC"/>
    <w:rsid w:val="00943382"/>
    <w:rsid w:val="00943C18"/>
    <w:rsid w:val="0094513F"/>
    <w:rsid w:val="00945585"/>
    <w:rsid w:val="009457F8"/>
    <w:rsid w:val="009478E8"/>
    <w:rsid w:val="00951257"/>
    <w:rsid w:val="00952D52"/>
    <w:rsid w:val="00956B77"/>
    <w:rsid w:val="00957D3C"/>
    <w:rsid w:val="00960679"/>
    <w:rsid w:val="00960A8D"/>
    <w:rsid w:val="009628EA"/>
    <w:rsid w:val="00962DF2"/>
    <w:rsid w:val="00963522"/>
    <w:rsid w:val="00963AD7"/>
    <w:rsid w:val="00964D86"/>
    <w:rsid w:val="00965DF9"/>
    <w:rsid w:val="00967413"/>
    <w:rsid w:val="00971D95"/>
    <w:rsid w:val="009723A9"/>
    <w:rsid w:val="009732F3"/>
    <w:rsid w:val="0097452A"/>
    <w:rsid w:val="00975554"/>
    <w:rsid w:val="009763B1"/>
    <w:rsid w:val="00980D81"/>
    <w:rsid w:val="00981DC4"/>
    <w:rsid w:val="0098385D"/>
    <w:rsid w:val="0098510A"/>
    <w:rsid w:val="009854A9"/>
    <w:rsid w:val="009855D0"/>
    <w:rsid w:val="009861FC"/>
    <w:rsid w:val="009866FA"/>
    <w:rsid w:val="00987AEF"/>
    <w:rsid w:val="00990168"/>
    <w:rsid w:val="00990539"/>
    <w:rsid w:val="0099171C"/>
    <w:rsid w:val="00995736"/>
    <w:rsid w:val="00995D66"/>
    <w:rsid w:val="00995F60"/>
    <w:rsid w:val="00996DA9"/>
    <w:rsid w:val="009A045C"/>
    <w:rsid w:val="009A1F1F"/>
    <w:rsid w:val="009A44FE"/>
    <w:rsid w:val="009A4921"/>
    <w:rsid w:val="009A5DE8"/>
    <w:rsid w:val="009B077D"/>
    <w:rsid w:val="009B0A9A"/>
    <w:rsid w:val="009B3206"/>
    <w:rsid w:val="009B3370"/>
    <w:rsid w:val="009B34EA"/>
    <w:rsid w:val="009B3D1E"/>
    <w:rsid w:val="009B41EA"/>
    <w:rsid w:val="009B4465"/>
    <w:rsid w:val="009B57B5"/>
    <w:rsid w:val="009B6ABF"/>
    <w:rsid w:val="009B7746"/>
    <w:rsid w:val="009C0B9A"/>
    <w:rsid w:val="009C11CC"/>
    <w:rsid w:val="009C38EB"/>
    <w:rsid w:val="009C3DF3"/>
    <w:rsid w:val="009C4E58"/>
    <w:rsid w:val="009C7BB9"/>
    <w:rsid w:val="009C7FC1"/>
    <w:rsid w:val="009D1510"/>
    <w:rsid w:val="009D1A10"/>
    <w:rsid w:val="009D2EA6"/>
    <w:rsid w:val="009D2FEF"/>
    <w:rsid w:val="009D3D6F"/>
    <w:rsid w:val="009D4D68"/>
    <w:rsid w:val="009D4F70"/>
    <w:rsid w:val="009D59D3"/>
    <w:rsid w:val="009D61C4"/>
    <w:rsid w:val="009E05B3"/>
    <w:rsid w:val="009E1014"/>
    <w:rsid w:val="009E17D9"/>
    <w:rsid w:val="009E1A7F"/>
    <w:rsid w:val="009E2C85"/>
    <w:rsid w:val="009E2E7E"/>
    <w:rsid w:val="009E2EAA"/>
    <w:rsid w:val="009E32F9"/>
    <w:rsid w:val="009E3D48"/>
    <w:rsid w:val="009E4FEF"/>
    <w:rsid w:val="009E5AC7"/>
    <w:rsid w:val="009E5BDB"/>
    <w:rsid w:val="009E6D7C"/>
    <w:rsid w:val="009E7327"/>
    <w:rsid w:val="009E7770"/>
    <w:rsid w:val="009E7A19"/>
    <w:rsid w:val="009F001F"/>
    <w:rsid w:val="009F2F39"/>
    <w:rsid w:val="009F32C3"/>
    <w:rsid w:val="009F3DD9"/>
    <w:rsid w:val="009F4900"/>
    <w:rsid w:val="009F5879"/>
    <w:rsid w:val="009F5C10"/>
    <w:rsid w:val="009F60B7"/>
    <w:rsid w:val="009F7145"/>
    <w:rsid w:val="009F7DB7"/>
    <w:rsid w:val="00A01216"/>
    <w:rsid w:val="00A01C67"/>
    <w:rsid w:val="00A02018"/>
    <w:rsid w:val="00A07537"/>
    <w:rsid w:val="00A07B48"/>
    <w:rsid w:val="00A111AD"/>
    <w:rsid w:val="00A11640"/>
    <w:rsid w:val="00A13924"/>
    <w:rsid w:val="00A13C78"/>
    <w:rsid w:val="00A141A3"/>
    <w:rsid w:val="00A15411"/>
    <w:rsid w:val="00A160B7"/>
    <w:rsid w:val="00A16C6E"/>
    <w:rsid w:val="00A215DA"/>
    <w:rsid w:val="00A216F1"/>
    <w:rsid w:val="00A2238C"/>
    <w:rsid w:val="00A22842"/>
    <w:rsid w:val="00A25330"/>
    <w:rsid w:val="00A25621"/>
    <w:rsid w:val="00A279BF"/>
    <w:rsid w:val="00A3280F"/>
    <w:rsid w:val="00A3669B"/>
    <w:rsid w:val="00A37360"/>
    <w:rsid w:val="00A37772"/>
    <w:rsid w:val="00A40138"/>
    <w:rsid w:val="00A40675"/>
    <w:rsid w:val="00A41680"/>
    <w:rsid w:val="00A41A2D"/>
    <w:rsid w:val="00A428D1"/>
    <w:rsid w:val="00A46814"/>
    <w:rsid w:val="00A500B3"/>
    <w:rsid w:val="00A51580"/>
    <w:rsid w:val="00A516EE"/>
    <w:rsid w:val="00A518A9"/>
    <w:rsid w:val="00A525C3"/>
    <w:rsid w:val="00A5317D"/>
    <w:rsid w:val="00A60D59"/>
    <w:rsid w:val="00A61C65"/>
    <w:rsid w:val="00A61CEA"/>
    <w:rsid w:val="00A63C77"/>
    <w:rsid w:val="00A647F8"/>
    <w:rsid w:val="00A650D8"/>
    <w:rsid w:val="00A660B4"/>
    <w:rsid w:val="00A6664D"/>
    <w:rsid w:val="00A67E20"/>
    <w:rsid w:val="00A67EEC"/>
    <w:rsid w:val="00A70779"/>
    <w:rsid w:val="00A73219"/>
    <w:rsid w:val="00A750DC"/>
    <w:rsid w:val="00A7534B"/>
    <w:rsid w:val="00A76DED"/>
    <w:rsid w:val="00A80165"/>
    <w:rsid w:val="00A81738"/>
    <w:rsid w:val="00A82061"/>
    <w:rsid w:val="00A835EE"/>
    <w:rsid w:val="00A83891"/>
    <w:rsid w:val="00A9079D"/>
    <w:rsid w:val="00A908EE"/>
    <w:rsid w:val="00A94151"/>
    <w:rsid w:val="00A95047"/>
    <w:rsid w:val="00A95FB8"/>
    <w:rsid w:val="00AA1966"/>
    <w:rsid w:val="00AA1A3C"/>
    <w:rsid w:val="00AA2AB2"/>
    <w:rsid w:val="00AA5411"/>
    <w:rsid w:val="00AA7560"/>
    <w:rsid w:val="00AA7A3D"/>
    <w:rsid w:val="00AB0157"/>
    <w:rsid w:val="00AB07DE"/>
    <w:rsid w:val="00AB27CC"/>
    <w:rsid w:val="00AB4110"/>
    <w:rsid w:val="00AB640F"/>
    <w:rsid w:val="00AB7BEE"/>
    <w:rsid w:val="00AC2C1A"/>
    <w:rsid w:val="00AC76A5"/>
    <w:rsid w:val="00AD08E6"/>
    <w:rsid w:val="00AD59B5"/>
    <w:rsid w:val="00AD5EC5"/>
    <w:rsid w:val="00AD7421"/>
    <w:rsid w:val="00AD7BF1"/>
    <w:rsid w:val="00AE4A62"/>
    <w:rsid w:val="00AE6130"/>
    <w:rsid w:val="00AE701B"/>
    <w:rsid w:val="00AE7D58"/>
    <w:rsid w:val="00AF0515"/>
    <w:rsid w:val="00AF0E8C"/>
    <w:rsid w:val="00AF184C"/>
    <w:rsid w:val="00AF267B"/>
    <w:rsid w:val="00AF5BDE"/>
    <w:rsid w:val="00AF6CA5"/>
    <w:rsid w:val="00AF7741"/>
    <w:rsid w:val="00B0138B"/>
    <w:rsid w:val="00B01B6B"/>
    <w:rsid w:val="00B020B8"/>
    <w:rsid w:val="00B02350"/>
    <w:rsid w:val="00B03A86"/>
    <w:rsid w:val="00B04AAF"/>
    <w:rsid w:val="00B04CEF"/>
    <w:rsid w:val="00B06B1D"/>
    <w:rsid w:val="00B12C3F"/>
    <w:rsid w:val="00B147EC"/>
    <w:rsid w:val="00B176DD"/>
    <w:rsid w:val="00B20423"/>
    <w:rsid w:val="00B25704"/>
    <w:rsid w:val="00B27D69"/>
    <w:rsid w:val="00B33BFE"/>
    <w:rsid w:val="00B36B6E"/>
    <w:rsid w:val="00B36B7E"/>
    <w:rsid w:val="00B378AF"/>
    <w:rsid w:val="00B40417"/>
    <w:rsid w:val="00B41CB3"/>
    <w:rsid w:val="00B421C7"/>
    <w:rsid w:val="00B43E5F"/>
    <w:rsid w:val="00B4412E"/>
    <w:rsid w:val="00B4467E"/>
    <w:rsid w:val="00B44770"/>
    <w:rsid w:val="00B4482F"/>
    <w:rsid w:val="00B44E51"/>
    <w:rsid w:val="00B458C0"/>
    <w:rsid w:val="00B468A1"/>
    <w:rsid w:val="00B46924"/>
    <w:rsid w:val="00B47ED7"/>
    <w:rsid w:val="00B52BB3"/>
    <w:rsid w:val="00B5343B"/>
    <w:rsid w:val="00B56723"/>
    <w:rsid w:val="00B576EF"/>
    <w:rsid w:val="00B61D08"/>
    <w:rsid w:val="00B62F09"/>
    <w:rsid w:val="00B63A70"/>
    <w:rsid w:val="00B64371"/>
    <w:rsid w:val="00B65818"/>
    <w:rsid w:val="00B66CC6"/>
    <w:rsid w:val="00B71B75"/>
    <w:rsid w:val="00B71E77"/>
    <w:rsid w:val="00B74B6A"/>
    <w:rsid w:val="00B74E51"/>
    <w:rsid w:val="00B75014"/>
    <w:rsid w:val="00B75953"/>
    <w:rsid w:val="00B76D8D"/>
    <w:rsid w:val="00B77EA0"/>
    <w:rsid w:val="00B81A82"/>
    <w:rsid w:val="00B83104"/>
    <w:rsid w:val="00B83776"/>
    <w:rsid w:val="00B8669C"/>
    <w:rsid w:val="00B9112F"/>
    <w:rsid w:val="00B920D0"/>
    <w:rsid w:val="00B933C5"/>
    <w:rsid w:val="00B93AAB"/>
    <w:rsid w:val="00B94955"/>
    <w:rsid w:val="00B9595B"/>
    <w:rsid w:val="00B969DE"/>
    <w:rsid w:val="00B96C07"/>
    <w:rsid w:val="00B96C6A"/>
    <w:rsid w:val="00B9731C"/>
    <w:rsid w:val="00B9756D"/>
    <w:rsid w:val="00BA3A56"/>
    <w:rsid w:val="00BA4F73"/>
    <w:rsid w:val="00BA5CF7"/>
    <w:rsid w:val="00BA6542"/>
    <w:rsid w:val="00BB0C96"/>
    <w:rsid w:val="00BB1369"/>
    <w:rsid w:val="00BB14B6"/>
    <w:rsid w:val="00BB21DD"/>
    <w:rsid w:val="00BB2EDB"/>
    <w:rsid w:val="00BB5927"/>
    <w:rsid w:val="00BC0C2F"/>
    <w:rsid w:val="00BC19AE"/>
    <w:rsid w:val="00BC6C0D"/>
    <w:rsid w:val="00BC73AA"/>
    <w:rsid w:val="00BD0D46"/>
    <w:rsid w:val="00BD1A4C"/>
    <w:rsid w:val="00BD1B66"/>
    <w:rsid w:val="00BD25B7"/>
    <w:rsid w:val="00BD2AC2"/>
    <w:rsid w:val="00BD449E"/>
    <w:rsid w:val="00BD4BD6"/>
    <w:rsid w:val="00BD534A"/>
    <w:rsid w:val="00BD5F0A"/>
    <w:rsid w:val="00BD6AA9"/>
    <w:rsid w:val="00BD7D67"/>
    <w:rsid w:val="00BE06AD"/>
    <w:rsid w:val="00BE455C"/>
    <w:rsid w:val="00BE5BD8"/>
    <w:rsid w:val="00BE5D5C"/>
    <w:rsid w:val="00BE75C4"/>
    <w:rsid w:val="00BF158F"/>
    <w:rsid w:val="00BF47B4"/>
    <w:rsid w:val="00BF5C4B"/>
    <w:rsid w:val="00BF6A63"/>
    <w:rsid w:val="00BF7D65"/>
    <w:rsid w:val="00BF7F21"/>
    <w:rsid w:val="00C00CE9"/>
    <w:rsid w:val="00C01E5F"/>
    <w:rsid w:val="00C02D91"/>
    <w:rsid w:val="00C037EF"/>
    <w:rsid w:val="00C039DA"/>
    <w:rsid w:val="00C06175"/>
    <w:rsid w:val="00C06BAC"/>
    <w:rsid w:val="00C0768E"/>
    <w:rsid w:val="00C10A4F"/>
    <w:rsid w:val="00C12A75"/>
    <w:rsid w:val="00C144FD"/>
    <w:rsid w:val="00C16EF2"/>
    <w:rsid w:val="00C17C43"/>
    <w:rsid w:val="00C20203"/>
    <w:rsid w:val="00C20256"/>
    <w:rsid w:val="00C24333"/>
    <w:rsid w:val="00C24567"/>
    <w:rsid w:val="00C24AD2"/>
    <w:rsid w:val="00C24DA0"/>
    <w:rsid w:val="00C252D5"/>
    <w:rsid w:val="00C254EC"/>
    <w:rsid w:val="00C27882"/>
    <w:rsid w:val="00C30C59"/>
    <w:rsid w:val="00C33A26"/>
    <w:rsid w:val="00C34F4E"/>
    <w:rsid w:val="00C353FC"/>
    <w:rsid w:val="00C35804"/>
    <w:rsid w:val="00C368EB"/>
    <w:rsid w:val="00C4125B"/>
    <w:rsid w:val="00C44680"/>
    <w:rsid w:val="00C44694"/>
    <w:rsid w:val="00C547A9"/>
    <w:rsid w:val="00C575F7"/>
    <w:rsid w:val="00C608C9"/>
    <w:rsid w:val="00C61ACE"/>
    <w:rsid w:val="00C62003"/>
    <w:rsid w:val="00C64B16"/>
    <w:rsid w:val="00C7172D"/>
    <w:rsid w:val="00C71CA2"/>
    <w:rsid w:val="00C7265A"/>
    <w:rsid w:val="00C72AAC"/>
    <w:rsid w:val="00C73B33"/>
    <w:rsid w:val="00C73CD6"/>
    <w:rsid w:val="00C740F5"/>
    <w:rsid w:val="00C746CB"/>
    <w:rsid w:val="00C74ADC"/>
    <w:rsid w:val="00C76ABD"/>
    <w:rsid w:val="00C773D1"/>
    <w:rsid w:val="00C8136F"/>
    <w:rsid w:val="00C81B59"/>
    <w:rsid w:val="00C83A64"/>
    <w:rsid w:val="00C83B04"/>
    <w:rsid w:val="00C84877"/>
    <w:rsid w:val="00C85BD5"/>
    <w:rsid w:val="00C85E8F"/>
    <w:rsid w:val="00C85F12"/>
    <w:rsid w:val="00C9079C"/>
    <w:rsid w:val="00C9243D"/>
    <w:rsid w:val="00C94FE6"/>
    <w:rsid w:val="00C951FB"/>
    <w:rsid w:val="00C95A6F"/>
    <w:rsid w:val="00C96BDF"/>
    <w:rsid w:val="00C96C93"/>
    <w:rsid w:val="00C97AC5"/>
    <w:rsid w:val="00CA1C25"/>
    <w:rsid w:val="00CA2DD3"/>
    <w:rsid w:val="00CA32BE"/>
    <w:rsid w:val="00CA39B4"/>
    <w:rsid w:val="00CA4EC6"/>
    <w:rsid w:val="00CA5927"/>
    <w:rsid w:val="00CB005B"/>
    <w:rsid w:val="00CB2E37"/>
    <w:rsid w:val="00CB3329"/>
    <w:rsid w:val="00CB5599"/>
    <w:rsid w:val="00CB5E96"/>
    <w:rsid w:val="00CB6D3D"/>
    <w:rsid w:val="00CB7262"/>
    <w:rsid w:val="00CB779B"/>
    <w:rsid w:val="00CC3027"/>
    <w:rsid w:val="00CC6398"/>
    <w:rsid w:val="00CD096B"/>
    <w:rsid w:val="00CD0F7C"/>
    <w:rsid w:val="00CD1218"/>
    <w:rsid w:val="00CD42A7"/>
    <w:rsid w:val="00CD4893"/>
    <w:rsid w:val="00CE0761"/>
    <w:rsid w:val="00CE0F85"/>
    <w:rsid w:val="00CE3B73"/>
    <w:rsid w:val="00CE58DE"/>
    <w:rsid w:val="00CE6E31"/>
    <w:rsid w:val="00CE717A"/>
    <w:rsid w:val="00CE7B8B"/>
    <w:rsid w:val="00CE7D20"/>
    <w:rsid w:val="00CF025C"/>
    <w:rsid w:val="00CF0DC6"/>
    <w:rsid w:val="00CF1C86"/>
    <w:rsid w:val="00CF2484"/>
    <w:rsid w:val="00CF2F0D"/>
    <w:rsid w:val="00CF4B48"/>
    <w:rsid w:val="00CF7220"/>
    <w:rsid w:val="00D012C7"/>
    <w:rsid w:val="00D03009"/>
    <w:rsid w:val="00D03808"/>
    <w:rsid w:val="00D03DF9"/>
    <w:rsid w:val="00D0519E"/>
    <w:rsid w:val="00D05B51"/>
    <w:rsid w:val="00D06EEA"/>
    <w:rsid w:val="00D07F51"/>
    <w:rsid w:val="00D1189A"/>
    <w:rsid w:val="00D118AE"/>
    <w:rsid w:val="00D11FDB"/>
    <w:rsid w:val="00D12CA1"/>
    <w:rsid w:val="00D146FB"/>
    <w:rsid w:val="00D15DF4"/>
    <w:rsid w:val="00D171FE"/>
    <w:rsid w:val="00D1763E"/>
    <w:rsid w:val="00D17723"/>
    <w:rsid w:val="00D17DB5"/>
    <w:rsid w:val="00D214D6"/>
    <w:rsid w:val="00D2162E"/>
    <w:rsid w:val="00D23D77"/>
    <w:rsid w:val="00D23F45"/>
    <w:rsid w:val="00D23F95"/>
    <w:rsid w:val="00D249EF"/>
    <w:rsid w:val="00D30676"/>
    <w:rsid w:val="00D310D6"/>
    <w:rsid w:val="00D31859"/>
    <w:rsid w:val="00D34746"/>
    <w:rsid w:val="00D37EB3"/>
    <w:rsid w:val="00D4262F"/>
    <w:rsid w:val="00D42DA8"/>
    <w:rsid w:val="00D43BAF"/>
    <w:rsid w:val="00D45576"/>
    <w:rsid w:val="00D461A2"/>
    <w:rsid w:val="00D46302"/>
    <w:rsid w:val="00D46A8D"/>
    <w:rsid w:val="00D46E0D"/>
    <w:rsid w:val="00D517D1"/>
    <w:rsid w:val="00D528FF"/>
    <w:rsid w:val="00D55710"/>
    <w:rsid w:val="00D6044C"/>
    <w:rsid w:val="00D61838"/>
    <w:rsid w:val="00D62AC1"/>
    <w:rsid w:val="00D62ED4"/>
    <w:rsid w:val="00D6335A"/>
    <w:rsid w:val="00D71C11"/>
    <w:rsid w:val="00D71EE4"/>
    <w:rsid w:val="00D75334"/>
    <w:rsid w:val="00D77F94"/>
    <w:rsid w:val="00D807E9"/>
    <w:rsid w:val="00D82D5E"/>
    <w:rsid w:val="00D8397C"/>
    <w:rsid w:val="00D84433"/>
    <w:rsid w:val="00D87357"/>
    <w:rsid w:val="00D91679"/>
    <w:rsid w:val="00D92DE8"/>
    <w:rsid w:val="00D9392B"/>
    <w:rsid w:val="00D9394A"/>
    <w:rsid w:val="00D949A4"/>
    <w:rsid w:val="00DA0743"/>
    <w:rsid w:val="00DA1FB0"/>
    <w:rsid w:val="00DA365B"/>
    <w:rsid w:val="00DA5273"/>
    <w:rsid w:val="00DA6E0F"/>
    <w:rsid w:val="00DB1A7F"/>
    <w:rsid w:val="00DB4EF2"/>
    <w:rsid w:val="00DC0E5E"/>
    <w:rsid w:val="00DC6094"/>
    <w:rsid w:val="00DC6843"/>
    <w:rsid w:val="00DC7C15"/>
    <w:rsid w:val="00DC7CDE"/>
    <w:rsid w:val="00DC7E6E"/>
    <w:rsid w:val="00DD1960"/>
    <w:rsid w:val="00DD2074"/>
    <w:rsid w:val="00DD34CB"/>
    <w:rsid w:val="00DD41D4"/>
    <w:rsid w:val="00DD4C92"/>
    <w:rsid w:val="00DD6E1B"/>
    <w:rsid w:val="00DE0A8F"/>
    <w:rsid w:val="00DE132E"/>
    <w:rsid w:val="00DE198C"/>
    <w:rsid w:val="00DE25D8"/>
    <w:rsid w:val="00DE3C98"/>
    <w:rsid w:val="00DE5349"/>
    <w:rsid w:val="00DF36EC"/>
    <w:rsid w:val="00DF3B93"/>
    <w:rsid w:val="00DF42F0"/>
    <w:rsid w:val="00DF5206"/>
    <w:rsid w:val="00DF63F4"/>
    <w:rsid w:val="00E0063B"/>
    <w:rsid w:val="00E00FC3"/>
    <w:rsid w:val="00E02A10"/>
    <w:rsid w:val="00E02A65"/>
    <w:rsid w:val="00E02F43"/>
    <w:rsid w:val="00E04106"/>
    <w:rsid w:val="00E05662"/>
    <w:rsid w:val="00E1039D"/>
    <w:rsid w:val="00E11C17"/>
    <w:rsid w:val="00E11C5A"/>
    <w:rsid w:val="00E120AD"/>
    <w:rsid w:val="00E12FB0"/>
    <w:rsid w:val="00E14FA8"/>
    <w:rsid w:val="00E15EE0"/>
    <w:rsid w:val="00E162CC"/>
    <w:rsid w:val="00E1676C"/>
    <w:rsid w:val="00E215ED"/>
    <w:rsid w:val="00E23BD5"/>
    <w:rsid w:val="00E23D62"/>
    <w:rsid w:val="00E24DAC"/>
    <w:rsid w:val="00E2537D"/>
    <w:rsid w:val="00E279ED"/>
    <w:rsid w:val="00E30844"/>
    <w:rsid w:val="00E31951"/>
    <w:rsid w:val="00E3299C"/>
    <w:rsid w:val="00E36149"/>
    <w:rsid w:val="00E372C8"/>
    <w:rsid w:val="00E37BE1"/>
    <w:rsid w:val="00E37CEC"/>
    <w:rsid w:val="00E4063E"/>
    <w:rsid w:val="00E40BC3"/>
    <w:rsid w:val="00E457C4"/>
    <w:rsid w:val="00E50737"/>
    <w:rsid w:val="00E5216C"/>
    <w:rsid w:val="00E545CB"/>
    <w:rsid w:val="00E55B8B"/>
    <w:rsid w:val="00E619ED"/>
    <w:rsid w:val="00E638C5"/>
    <w:rsid w:val="00E65FC3"/>
    <w:rsid w:val="00E67461"/>
    <w:rsid w:val="00E67865"/>
    <w:rsid w:val="00E67D74"/>
    <w:rsid w:val="00E707E9"/>
    <w:rsid w:val="00E70862"/>
    <w:rsid w:val="00E71831"/>
    <w:rsid w:val="00E72AA0"/>
    <w:rsid w:val="00E7343C"/>
    <w:rsid w:val="00E75D5F"/>
    <w:rsid w:val="00E76A39"/>
    <w:rsid w:val="00E77BB6"/>
    <w:rsid w:val="00E804D3"/>
    <w:rsid w:val="00E81AF9"/>
    <w:rsid w:val="00E820B8"/>
    <w:rsid w:val="00E82EB6"/>
    <w:rsid w:val="00E845F3"/>
    <w:rsid w:val="00E8488F"/>
    <w:rsid w:val="00E860CB"/>
    <w:rsid w:val="00E860E4"/>
    <w:rsid w:val="00E86A85"/>
    <w:rsid w:val="00E86C3E"/>
    <w:rsid w:val="00E87068"/>
    <w:rsid w:val="00E875F7"/>
    <w:rsid w:val="00E87A2D"/>
    <w:rsid w:val="00E9136D"/>
    <w:rsid w:val="00E92A50"/>
    <w:rsid w:val="00E92D68"/>
    <w:rsid w:val="00E95534"/>
    <w:rsid w:val="00EA0355"/>
    <w:rsid w:val="00EA0FEE"/>
    <w:rsid w:val="00EA22E1"/>
    <w:rsid w:val="00EA2300"/>
    <w:rsid w:val="00EA256A"/>
    <w:rsid w:val="00EA3066"/>
    <w:rsid w:val="00EA37E9"/>
    <w:rsid w:val="00EA3C52"/>
    <w:rsid w:val="00EA596A"/>
    <w:rsid w:val="00EB43CB"/>
    <w:rsid w:val="00EB452F"/>
    <w:rsid w:val="00EB53A0"/>
    <w:rsid w:val="00EB6AFB"/>
    <w:rsid w:val="00EB6CDA"/>
    <w:rsid w:val="00EB73BF"/>
    <w:rsid w:val="00EC0835"/>
    <w:rsid w:val="00EC109E"/>
    <w:rsid w:val="00EC1270"/>
    <w:rsid w:val="00EC3F9E"/>
    <w:rsid w:val="00EC57B2"/>
    <w:rsid w:val="00EC5801"/>
    <w:rsid w:val="00EC6892"/>
    <w:rsid w:val="00EC6989"/>
    <w:rsid w:val="00EC72C8"/>
    <w:rsid w:val="00EC78A2"/>
    <w:rsid w:val="00ED1593"/>
    <w:rsid w:val="00ED2A85"/>
    <w:rsid w:val="00ED2C3C"/>
    <w:rsid w:val="00ED2EB7"/>
    <w:rsid w:val="00ED42B3"/>
    <w:rsid w:val="00ED5485"/>
    <w:rsid w:val="00ED6E49"/>
    <w:rsid w:val="00EE1371"/>
    <w:rsid w:val="00EE3850"/>
    <w:rsid w:val="00EE561B"/>
    <w:rsid w:val="00EE7650"/>
    <w:rsid w:val="00EE79B7"/>
    <w:rsid w:val="00EF1061"/>
    <w:rsid w:val="00EF2BB4"/>
    <w:rsid w:val="00EF3A5D"/>
    <w:rsid w:val="00EF4664"/>
    <w:rsid w:val="00EF5BB8"/>
    <w:rsid w:val="00EF7C31"/>
    <w:rsid w:val="00F00146"/>
    <w:rsid w:val="00F003A5"/>
    <w:rsid w:val="00F018AF"/>
    <w:rsid w:val="00F02ECA"/>
    <w:rsid w:val="00F039A5"/>
    <w:rsid w:val="00F0426C"/>
    <w:rsid w:val="00F04A26"/>
    <w:rsid w:val="00F06156"/>
    <w:rsid w:val="00F075F5"/>
    <w:rsid w:val="00F102D6"/>
    <w:rsid w:val="00F10DF1"/>
    <w:rsid w:val="00F10F60"/>
    <w:rsid w:val="00F1119E"/>
    <w:rsid w:val="00F1264F"/>
    <w:rsid w:val="00F12ADD"/>
    <w:rsid w:val="00F132BB"/>
    <w:rsid w:val="00F13BCC"/>
    <w:rsid w:val="00F13DEF"/>
    <w:rsid w:val="00F14E61"/>
    <w:rsid w:val="00F16EBD"/>
    <w:rsid w:val="00F17535"/>
    <w:rsid w:val="00F20EFA"/>
    <w:rsid w:val="00F21F46"/>
    <w:rsid w:val="00F2219E"/>
    <w:rsid w:val="00F23A6F"/>
    <w:rsid w:val="00F250F6"/>
    <w:rsid w:val="00F255C1"/>
    <w:rsid w:val="00F257EC"/>
    <w:rsid w:val="00F2698A"/>
    <w:rsid w:val="00F26F6B"/>
    <w:rsid w:val="00F30129"/>
    <w:rsid w:val="00F31C7B"/>
    <w:rsid w:val="00F37303"/>
    <w:rsid w:val="00F40C7D"/>
    <w:rsid w:val="00F41D4E"/>
    <w:rsid w:val="00F42720"/>
    <w:rsid w:val="00F42FB0"/>
    <w:rsid w:val="00F430B8"/>
    <w:rsid w:val="00F45F9C"/>
    <w:rsid w:val="00F462FB"/>
    <w:rsid w:val="00F471FA"/>
    <w:rsid w:val="00F47970"/>
    <w:rsid w:val="00F50E11"/>
    <w:rsid w:val="00F51492"/>
    <w:rsid w:val="00F57B74"/>
    <w:rsid w:val="00F61580"/>
    <w:rsid w:val="00F62A5A"/>
    <w:rsid w:val="00F63B1A"/>
    <w:rsid w:val="00F65B30"/>
    <w:rsid w:val="00F66BE6"/>
    <w:rsid w:val="00F70677"/>
    <w:rsid w:val="00F72612"/>
    <w:rsid w:val="00F73E99"/>
    <w:rsid w:val="00F74E3B"/>
    <w:rsid w:val="00F76E41"/>
    <w:rsid w:val="00F77283"/>
    <w:rsid w:val="00F83604"/>
    <w:rsid w:val="00F853C5"/>
    <w:rsid w:val="00F86597"/>
    <w:rsid w:val="00F90E4B"/>
    <w:rsid w:val="00F92381"/>
    <w:rsid w:val="00F92751"/>
    <w:rsid w:val="00F94B0C"/>
    <w:rsid w:val="00F951DE"/>
    <w:rsid w:val="00FA127B"/>
    <w:rsid w:val="00FA448F"/>
    <w:rsid w:val="00FA5311"/>
    <w:rsid w:val="00FA5A1B"/>
    <w:rsid w:val="00FA76D4"/>
    <w:rsid w:val="00FB03F5"/>
    <w:rsid w:val="00FB1B91"/>
    <w:rsid w:val="00FB265F"/>
    <w:rsid w:val="00FB3B05"/>
    <w:rsid w:val="00FB4678"/>
    <w:rsid w:val="00FB4C32"/>
    <w:rsid w:val="00FB4F64"/>
    <w:rsid w:val="00FB5188"/>
    <w:rsid w:val="00FB5A3A"/>
    <w:rsid w:val="00FB5B8C"/>
    <w:rsid w:val="00FB5CFF"/>
    <w:rsid w:val="00FC1914"/>
    <w:rsid w:val="00FC30C0"/>
    <w:rsid w:val="00FC33F3"/>
    <w:rsid w:val="00FC3EC9"/>
    <w:rsid w:val="00FC5866"/>
    <w:rsid w:val="00FC718A"/>
    <w:rsid w:val="00FC72D0"/>
    <w:rsid w:val="00FC7A61"/>
    <w:rsid w:val="00FD1739"/>
    <w:rsid w:val="00FD1912"/>
    <w:rsid w:val="00FD2386"/>
    <w:rsid w:val="00FD31C0"/>
    <w:rsid w:val="00FD4092"/>
    <w:rsid w:val="00FD657A"/>
    <w:rsid w:val="00FD674D"/>
    <w:rsid w:val="00FD683B"/>
    <w:rsid w:val="00FE29F3"/>
    <w:rsid w:val="00FE2AB4"/>
    <w:rsid w:val="00FE2CFD"/>
    <w:rsid w:val="00FE5752"/>
    <w:rsid w:val="00FE5A1D"/>
    <w:rsid w:val="00FE63AA"/>
    <w:rsid w:val="00FF07B5"/>
    <w:rsid w:val="00FF112A"/>
    <w:rsid w:val="00FF3C0F"/>
    <w:rsid w:val="00FF4A37"/>
    <w:rsid w:val="00FF598C"/>
    <w:rsid w:val="00FF5B57"/>
    <w:rsid w:val="00FF6C8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451206F2"/>
  <w15:docId w15:val="{F71F3173-7F17-401E-AAA7-E0E4ABF0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CF"/>
  </w:style>
  <w:style w:type="paragraph" w:styleId="Ttulo1">
    <w:name w:val="heading 1"/>
    <w:basedOn w:val="Normal"/>
    <w:next w:val="Normal"/>
    <w:link w:val="Ttulo1Car"/>
    <w:uiPriority w:val="9"/>
    <w:qFormat/>
    <w:rsid w:val="009E2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D42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2D2"/>
  </w:style>
  <w:style w:type="paragraph" w:styleId="Piedepgina">
    <w:name w:val="footer"/>
    <w:basedOn w:val="Normal"/>
    <w:link w:val="Piedepgina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2D2"/>
  </w:style>
  <w:style w:type="paragraph" w:styleId="Textodeglobo">
    <w:name w:val="Balloon Text"/>
    <w:basedOn w:val="Normal"/>
    <w:link w:val="TextodegloboCar"/>
    <w:uiPriority w:val="99"/>
    <w:semiHidden/>
    <w:unhideWhenUsed/>
    <w:rsid w:val="000D42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2D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D42D2"/>
    <w:rPr>
      <w:rFonts w:ascii="Times" w:hAnsi="Times"/>
      <w:b/>
      <w:bCs/>
      <w:sz w:val="36"/>
      <w:szCs w:val="36"/>
    </w:rPr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uiPriority w:val="99"/>
    <w:semiHidden/>
    <w:unhideWhenUsed/>
    <w:qFormat/>
    <w:rsid w:val="000D4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D42D2"/>
    <w:rPr>
      <w:b/>
      <w:bCs/>
    </w:rPr>
  </w:style>
  <w:style w:type="character" w:customStyle="1" w:styleId="apple-converted-space">
    <w:name w:val="apple-converted-space"/>
    <w:basedOn w:val="Fuentedeprrafopredeter"/>
    <w:rsid w:val="000D42D2"/>
  </w:style>
  <w:style w:type="paragraph" w:customStyle="1" w:styleId="Standard">
    <w:name w:val="Standard"/>
    <w:rsid w:val="001574A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zh-CN"/>
    </w:rPr>
  </w:style>
  <w:style w:type="table" w:styleId="Tablaconcuadrcula">
    <w:name w:val="Table Grid"/>
    <w:basedOn w:val="Tablanormal"/>
    <w:uiPriority w:val="39"/>
    <w:rsid w:val="00764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51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2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l">
    <w:name w:val="il"/>
    <w:basedOn w:val="Fuentedeprrafopredeter"/>
    <w:rsid w:val="00BB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7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39B43AB-1687-4179-A5E5-CA7B8F46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1286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Cielo Natalia Londoño Vela</cp:lastModifiedBy>
  <cp:revision>9</cp:revision>
  <cp:lastPrinted>2017-02-23T16:56:00Z</cp:lastPrinted>
  <dcterms:created xsi:type="dcterms:W3CDTF">2021-01-26T22:43:00Z</dcterms:created>
  <dcterms:modified xsi:type="dcterms:W3CDTF">2021-02-08T21:46:00Z</dcterms:modified>
</cp:coreProperties>
</file>