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EB8F4" w14:textId="77777777" w:rsidR="00873972" w:rsidRPr="003C58A7" w:rsidRDefault="00873972" w:rsidP="00B41CB3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>AGENCIA PRESIDENCIAL DE COOPERACIÓN INTERNACIONAL</w:t>
      </w:r>
    </w:p>
    <w:p w14:paraId="018A73C9" w14:textId="27F77A85" w:rsidR="00DF3B93" w:rsidRPr="003C58A7" w:rsidRDefault="00873972" w:rsidP="00790E69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 xml:space="preserve">Ejecución presupuestal a </w:t>
      </w:r>
      <w:r w:rsidR="00B77EA0">
        <w:rPr>
          <w:rFonts w:ascii="Verdana" w:hAnsi="Verdana"/>
          <w:b/>
          <w:sz w:val="22"/>
          <w:szCs w:val="20"/>
        </w:rPr>
        <w:t>30 de noviembre</w:t>
      </w:r>
      <w:r w:rsidR="001645D6" w:rsidRPr="003C58A7">
        <w:rPr>
          <w:rFonts w:ascii="Verdana" w:hAnsi="Verdana"/>
          <w:b/>
          <w:sz w:val="22"/>
          <w:szCs w:val="20"/>
        </w:rPr>
        <w:t xml:space="preserve"> </w:t>
      </w:r>
      <w:r w:rsidR="003A11C2">
        <w:rPr>
          <w:rFonts w:ascii="Verdana" w:hAnsi="Verdana"/>
          <w:b/>
          <w:sz w:val="22"/>
          <w:szCs w:val="20"/>
        </w:rPr>
        <w:t xml:space="preserve">de </w:t>
      </w:r>
      <w:r w:rsidR="00DF3B93">
        <w:rPr>
          <w:rFonts w:ascii="Verdana" w:hAnsi="Verdana"/>
          <w:b/>
          <w:sz w:val="22"/>
          <w:szCs w:val="20"/>
        </w:rPr>
        <w:t>2020</w:t>
      </w:r>
    </w:p>
    <w:p w14:paraId="3788A556" w14:textId="77777777" w:rsidR="00873972" w:rsidRPr="003C58A7" w:rsidRDefault="00873972" w:rsidP="00B41CB3">
      <w:pPr>
        <w:rPr>
          <w:rFonts w:ascii="Verdana" w:hAnsi="Verdana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24"/>
        <w:gridCol w:w="6454"/>
      </w:tblGrid>
      <w:tr w:rsidR="000023EC" w:rsidRPr="003C58A7" w14:paraId="2641BF55" w14:textId="77777777" w:rsidTr="00FC7A61">
        <w:tc>
          <w:tcPr>
            <w:tcW w:w="0" w:type="auto"/>
            <w:shd w:val="clear" w:color="auto" w:fill="auto"/>
          </w:tcPr>
          <w:p w14:paraId="103B9A61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C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ompromisos</w:t>
            </w:r>
          </w:p>
        </w:tc>
        <w:tc>
          <w:tcPr>
            <w:tcW w:w="0" w:type="auto"/>
            <w:shd w:val="clear" w:color="auto" w:fill="auto"/>
          </w:tcPr>
          <w:p w14:paraId="599E3AC7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O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bligaciones</w:t>
            </w:r>
          </w:p>
        </w:tc>
      </w:tr>
      <w:tr w:rsidR="000023EC" w:rsidRPr="003C58A7" w14:paraId="7C3718D5" w14:textId="77777777" w:rsidTr="00FC7A61">
        <w:trPr>
          <w:trHeight w:val="43"/>
        </w:trPr>
        <w:tc>
          <w:tcPr>
            <w:tcW w:w="0" w:type="auto"/>
            <w:shd w:val="clear" w:color="auto" w:fill="auto"/>
            <w:vAlign w:val="center"/>
          </w:tcPr>
          <w:p w14:paraId="4355EDF4" w14:textId="77777777" w:rsidR="00A67EEC" w:rsidRPr="003C58A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8A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Ejecución Compromisos / Apropiación Vigente.</w:t>
            </w:r>
          </w:p>
          <w:p w14:paraId="52968DD2" w14:textId="4B0527D1" w:rsidR="00A67EEC" w:rsidRPr="003C58A7" w:rsidRDefault="00784A24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8A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="00BD2A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71C11">
              <w:rPr>
                <w:rFonts w:ascii="Verdana" w:hAnsi="Verdana"/>
                <w:sz w:val="20"/>
                <w:szCs w:val="20"/>
              </w:rPr>
              <w:t>41.</w:t>
            </w:r>
            <w:r w:rsidR="00CF1C86">
              <w:rPr>
                <w:rFonts w:ascii="Verdana" w:hAnsi="Verdana"/>
                <w:sz w:val="20"/>
                <w:szCs w:val="20"/>
              </w:rPr>
              <w:t>347,2</w:t>
            </w:r>
            <w:r w:rsidR="00A3777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C58A7">
              <w:rPr>
                <w:rFonts w:ascii="Verdana" w:hAnsi="Verdana"/>
                <w:sz w:val="20"/>
                <w:szCs w:val="20"/>
              </w:rPr>
              <w:t>/</w:t>
            </w:r>
            <w:r w:rsidR="00A3777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F3B93">
              <w:rPr>
                <w:rFonts w:ascii="Verdana" w:hAnsi="Verdana"/>
                <w:sz w:val="20"/>
                <w:szCs w:val="20"/>
              </w:rPr>
              <w:t>62.956,0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2AC2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CF1C86">
              <w:rPr>
                <w:rFonts w:ascii="Verdana" w:hAnsi="Verdana"/>
                <w:sz w:val="20"/>
                <w:szCs w:val="20"/>
              </w:rPr>
              <w:t>65,68</w:t>
            </w:r>
            <w:r w:rsidR="00A67EEC" w:rsidRPr="003C58A7">
              <w:rPr>
                <w:rFonts w:ascii="Verdana" w:hAnsi="Verdana"/>
                <w:sz w:val="20"/>
                <w:szCs w:val="20"/>
              </w:rPr>
              <w:t>%.</w:t>
            </w:r>
          </w:p>
          <w:p w14:paraId="74CB8581" w14:textId="77777777" w:rsidR="00A67EEC" w:rsidRPr="003C58A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CDAC5C" w14:textId="3E706BDE" w:rsidR="00CB005B" w:rsidRDefault="00A67EEC" w:rsidP="00691C7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B1369">
              <w:rPr>
                <w:rFonts w:ascii="Verdana" w:hAnsi="Verdana"/>
                <w:sz w:val="20"/>
                <w:szCs w:val="20"/>
              </w:rPr>
              <w:t xml:space="preserve">Con corte al </w:t>
            </w:r>
            <w:r w:rsidR="00D71C11">
              <w:rPr>
                <w:rFonts w:ascii="Verdana" w:hAnsi="Verdana"/>
                <w:sz w:val="20"/>
                <w:szCs w:val="20"/>
              </w:rPr>
              <w:t>30 de noviembre</w:t>
            </w:r>
            <w:r w:rsidR="00586E06" w:rsidRPr="00BB136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07E9" w:rsidRPr="00BB1369">
              <w:rPr>
                <w:rFonts w:ascii="Verdana" w:hAnsi="Verdana"/>
                <w:sz w:val="20"/>
                <w:szCs w:val="20"/>
              </w:rPr>
              <w:t>de 20</w:t>
            </w:r>
            <w:r w:rsidR="002A3D8F" w:rsidRPr="00BB1369">
              <w:rPr>
                <w:rFonts w:ascii="Verdana" w:hAnsi="Verdana"/>
                <w:sz w:val="20"/>
                <w:szCs w:val="20"/>
              </w:rPr>
              <w:t>20</w:t>
            </w:r>
            <w:r w:rsidRPr="00BB1369">
              <w:rPr>
                <w:rFonts w:ascii="Verdana" w:hAnsi="Verdana"/>
                <w:sz w:val="20"/>
                <w:szCs w:val="20"/>
              </w:rPr>
              <w:t xml:space="preserve">, la ejecución presupuestal de la entidad fue del </w:t>
            </w:r>
            <w:r w:rsidR="00CF1C86">
              <w:rPr>
                <w:rFonts w:ascii="Verdana" w:hAnsi="Verdana"/>
                <w:sz w:val="20"/>
                <w:szCs w:val="20"/>
              </w:rPr>
              <w:t>65,68</w:t>
            </w:r>
            <w:r w:rsidR="00A60D59" w:rsidRPr="003C58A7">
              <w:rPr>
                <w:rFonts w:ascii="Verdana" w:hAnsi="Verdana"/>
                <w:sz w:val="20"/>
                <w:szCs w:val="20"/>
              </w:rPr>
              <w:t>%</w:t>
            </w:r>
            <w:r w:rsidRPr="00BB1369">
              <w:rPr>
                <w:rFonts w:ascii="Verdana" w:hAnsi="Verdana"/>
                <w:sz w:val="20"/>
                <w:szCs w:val="20"/>
              </w:rPr>
              <w:t xml:space="preserve"> equivalente a </w:t>
            </w:r>
            <w:r w:rsidR="00D71C11">
              <w:rPr>
                <w:rFonts w:ascii="Verdana" w:hAnsi="Verdana"/>
                <w:sz w:val="20"/>
                <w:szCs w:val="20"/>
              </w:rPr>
              <w:t>41.</w:t>
            </w:r>
            <w:r w:rsidR="00CF1C86">
              <w:rPr>
                <w:rFonts w:ascii="Verdana" w:hAnsi="Verdana"/>
                <w:sz w:val="20"/>
                <w:szCs w:val="20"/>
              </w:rPr>
              <w:t>347,2</w:t>
            </w:r>
            <w:r w:rsidR="0002146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1369">
              <w:rPr>
                <w:rFonts w:ascii="Verdana" w:hAnsi="Verdana"/>
                <w:sz w:val="20"/>
                <w:szCs w:val="20"/>
              </w:rPr>
              <w:t>millo</w:t>
            </w:r>
            <w:r w:rsidR="00733F8C" w:rsidRPr="00BB1369">
              <w:rPr>
                <w:rFonts w:ascii="Verdana" w:hAnsi="Verdana"/>
                <w:sz w:val="20"/>
                <w:szCs w:val="20"/>
              </w:rPr>
              <w:t xml:space="preserve">nes, frente a una meta del </w:t>
            </w:r>
            <w:r w:rsidR="00D71C11">
              <w:rPr>
                <w:rFonts w:ascii="Verdana" w:hAnsi="Verdana"/>
                <w:sz w:val="20"/>
                <w:szCs w:val="20"/>
              </w:rPr>
              <w:t>65,54</w:t>
            </w:r>
            <w:r w:rsidR="00C94FE6" w:rsidRPr="00BB1369">
              <w:rPr>
                <w:rFonts w:ascii="Verdana" w:hAnsi="Verdana"/>
                <w:sz w:val="20"/>
                <w:szCs w:val="20"/>
              </w:rPr>
              <w:t xml:space="preserve">%, con un </w:t>
            </w:r>
            <w:r w:rsidR="005365D4">
              <w:rPr>
                <w:rFonts w:ascii="Verdana" w:hAnsi="Verdana"/>
                <w:sz w:val="20"/>
                <w:szCs w:val="20"/>
              </w:rPr>
              <w:t>déficit</w:t>
            </w:r>
            <w:r w:rsidRPr="00BB1369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D71C11">
              <w:rPr>
                <w:rFonts w:ascii="Verdana" w:hAnsi="Verdana"/>
                <w:sz w:val="20"/>
                <w:szCs w:val="20"/>
              </w:rPr>
              <w:t>105,4</w:t>
            </w:r>
            <w:r w:rsidR="003725D8" w:rsidRPr="00BB136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1369">
              <w:rPr>
                <w:rFonts w:ascii="Verdana" w:hAnsi="Verdana"/>
                <w:sz w:val="20"/>
                <w:szCs w:val="20"/>
              </w:rPr>
              <w:t>millones, el cual se explica de la siguiente manera:</w:t>
            </w:r>
          </w:p>
          <w:p w14:paraId="6A144967" w14:textId="77777777" w:rsidR="00D42DA8" w:rsidRPr="00BB1369" w:rsidRDefault="00D42DA8" w:rsidP="00691C7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35A210E" w14:textId="5FEF6BFC" w:rsidR="00CB005B" w:rsidRPr="00D42DA8" w:rsidRDefault="00A67EEC" w:rsidP="00D42DA8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D42DA8">
              <w:rPr>
                <w:rFonts w:ascii="Verdana" w:hAnsi="Verdana"/>
                <w:b/>
                <w:sz w:val="20"/>
                <w:szCs w:val="20"/>
                <w:u w:val="single"/>
              </w:rPr>
              <w:t>Gastos de funcionamiento:</w:t>
            </w:r>
          </w:p>
          <w:p w14:paraId="1D6251F8" w14:textId="77777777" w:rsidR="00D42DA8" w:rsidRPr="00D42DA8" w:rsidRDefault="00D42DA8" w:rsidP="00D42DA8">
            <w:pPr>
              <w:pStyle w:val="Prrafodelista"/>
              <w:ind w:left="435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63B31BE8" w14:textId="09648B7E" w:rsidR="00CB005B" w:rsidRDefault="00A67EEC" w:rsidP="00691C73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9331E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3FEB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1) 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>Superávit</w:t>
            </w:r>
            <w:r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</w:t>
            </w:r>
            <w:r w:rsidR="009331E5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</w:t>
            </w:r>
            <w:r w:rsidR="000B4CFF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por </w:t>
            </w:r>
            <w:r w:rsidR="00D71C11">
              <w:rPr>
                <w:rFonts w:ascii="Verdana" w:hAnsi="Verdana"/>
                <w:iCs/>
                <w:sz w:val="20"/>
                <w:szCs w:val="20"/>
                <w:lang w:val="es-ES"/>
              </w:rPr>
              <w:t>1.047</w:t>
            </w:r>
            <w:r w:rsid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millones,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CB005B">
              <w:rPr>
                <w:rFonts w:ascii="Verdana" w:hAnsi="Verdana"/>
                <w:iCs/>
                <w:sz w:val="20"/>
                <w:szCs w:val="20"/>
                <w:lang w:val="es-ES"/>
              </w:rPr>
              <w:t>se cumplió la meta.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</w:p>
          <w:p w14:paraId="7D73C02C" w14:textId="04AA84B4" w:rsidR="0073047C" w:rsidRDefault="00874665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331E5" w:rsidRPr="00EF2BB4">
              <w:rPr>
                <w:rFonts w:ascii="Verdana" w:hAnsi="Verdana"/>
                <w:iCs/>
                <w:sz w:val="20"/>
                <w:szCs w:val="20"/>
                <w:lang w:val="es-ES"/>
              </w:rPr>
              <w:t>2</w:t>
            </w:r>
            <w:r w:rsidR="00A67EEC" w:rsidRPr="00EF2BB4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) </w:t>
            </w:r>
            <w:r w:rsidR="000A0797" w:rsidRPr="00EF2BB4">
              <w:rPr>
                <w:rFonts w:ascii="Verdana" w:hAnsi="Verdana" w:cs="Arial"/>
                <w:sz w:val="20"/>
                <w:szCs w:val="20"/>
              </w:rPr>
              <w:t>Déficit</w:t>
            </w:r>
            <w:r w:rsidRPr="00EF2BB4">
              <w:rPr>
                <w:rFonts w:ascii="Verdana" w:hAnsi="Verdana" w:cs="Arial"/>
                <w:sz w:val="20"/>
                <w:szCs w:val="20"/>
              </w:rPr>
              <w:t xml:space="preserve"> en adquisición de bienes y servicios por </w:t>
            </w:r>
            <w:r w:rsidR="00646C89">
              <w:rPr>
                <w:rFonts w:ascii="Verdana" w:hAnsi="Verdana" w:cs="Arial"/>
                <w:sz w:val="20"/>
                <w:szCs w:val="20"/>
              </w:rPr>
              <w:t>229</w:t>
            </w:r>
            <w:r w:rsidR="00021462">
              <w:rPr>
                <w:rFonts w:ascii="Verdana" w:hAnsi="Verdana" w:cs="Arial"/>
                <w:sz w:val="20"/>
                <w:szCs w:val="20"/>
              </w:rPr>
              <w:t>,</w:t>
            </w:r>
            <w:r w:rsidR="00646C89">
              <w:rPr>
                <w:rFonts w:ascii="Verdana" w:hAnsi="Verdana" w:cs="Arial"/>
                <w:sz w:val="20"/>
                <w:szCs w:val="20"/>
              </w:rPr>
              <w:t>4</w:t>
            </w:r>
            <w:r w:rsidRPr="00EF2BB4">
              <w:rPr>
                <w:rFonts w:ascii="Verdana" w:hAnsi="Verdana" w:cs="Arial"/>
                <w:sz w:val="20"/>
                <w:szCs w:val="20"/>
              </w:rPr>
              <w:t xml:space="preserve"> millones,</w:t>
            </w:r>
            <w:r w:rsidR="00956B77" w:rsidRPr="00EF2BB4">
              <w:rPr>
                <w:rFonts w:ascii="Verdana" w:hAnsi="Verdana" w:cs="Arial"/>
                <w:sz w:val="20"/>
                <w:szCs w:val="20"/>
              </w:rPr>
              <w:t xml:space="preserve"> debido a</w:t>
            </w:r>
            <w:r w:rsidR="00CB005B" w:rsidRPr="00EF2BB4">
              <w:rPr>
                <w:rFonts w:ascii="Verdana" w:hAnsi="Verdana" w:cs="Arial"/>
                <w:sz w:val="20"/>
                <w:szCs w:val="20"/>
              </w:rPr>
              <w:t xml:space="preserve"> que</w:t>
            </w:r>
            <w:r w:rsidR="00956B77" w:rsidRPr="00EF2BB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B005B" w:rsidRPr="00EF2BB4">
              <w:rPr>
                <w:rFonts w:ascii="Verdana" w:hAnsi="Verdana" w:cs="Arial"/>
                <w:sz w:val="20"/>
                <w:szCs w:val="20"/>
              </w:rPr>
              <w:t>no se realiz</w:t>
            </w:r>
            <w:r w:rsidR="0073047C" w:rsidRPr="00EF2BB4">
              <w:rPr>
                <w:rFonts w:ascii="Verdana" w:hAnsi="Verdana" w:cs="Arial"/>
                <w:sz w:val="20"/>
                <w:szCs w:val="20"/>
              </w:rPr>
              <w:t>aron algunas contrat</w:t>
            </w:r>
            <w:r w:rsidR="0068206C">
              <w:rPr>
                <w:rFonts w:ascii="Verdana" w:hAnsi="Verdana" w:cs="Arial"/>
                <w:sz w:val="20"/>
                <w:szCs w:val="20"/>
              </w:rPr>
              <w:t xml:space="preserve">aciones </w:t>
            </w:r>
            <w:r w:rsidR="009D1510">
              <w:rPr>
                <w:rFonts w:ascii="Verdana" w:hAnsi="Verdana" w:cs="Arial"/>
                <w:sz w:val="20"/>
                <w:szCs w:val="20"/>
              </w:rPr>
              <w:t xml:space="preserve">durante la vigencia </w:t>
            </w:r>
            <w:r w:rsidR="0068206C">
              <w:rPr>
                <w:rFonts w:ascii="Verdana" w:hAnsi="Verdana" w:cs="Arial"/>
                <w:sz w:val="20"/>
                <w:szCs w:val="20"/>
              </w:rPr>
              <w:t>en algunos rubros de adquisición de servicios como la compra de papelería</w:t>
            </w:r>
            <w:r w:rsidR="007D4BD3">
              <w:rPr>
                <w:rFonts w:ascii="Verdana" w:hAnsi="Verdana" w:cs="Arial"/>
                <w:sz w:val="20"/>
                <w:szCs w:val="20"/>
              </w:rPr>
              <w:t>, Adquisición de servicios para el área de comunicaciones,</w:t>
            </w:r>
            <w:r w:rsidR="0068206C">
              <w:rPr>
                <w:rFonts w:ascii="Verdana" w:hAnsi="Verdana" w:cs="Arial"/>
                <w:sz w:val="20"/>
                <w:szCs w:val="20"/>
              </w:rPr>
              <w:t xml:space="preserve"> no se comprometi</w:t>
            </w:r>
            <w:r w:rsidR="007D4BD3">
              <w:rPr>
                <w:rFonts w:ascii="Verdana" w:hAnsi="Verdana" w:cs="Arial"/>
                <w:sz w:val="20"/>
                <w:szCs w:val="20"/>
              </w:rPr>
              <w:t>eron</w:t>
            </w:r>
            <w:r w:rsidR="0068206C">
              <w:rPr>
                <w:rFonts w:ascii="Verdana" w:hAnsi="Verdana" w:cs="Arial"/>
                <w:sz w:val="20"/>
                <w:szCs w:val="20"/>
              </w:rPr>
              <w:t xml:space="preserve"> debido a la situación sanitaria que presenta en estos momentos el país.</w:t>
            </w:r>
          </w:p>
          <w:p w14:paraId="36C27484" w14:textId="516539FD" w:rsidR="00CB005B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 w:rsidR="0068206C">
              <w:rPr>
                <w:rFonts w:ascii="Verdana" w:hAnsi="Verdana" w:cs="Arial"/>
                <w:sz w:val="20"/>
                <w:szCs w:val="20"/>
              </w:rPr>
              <w:t>Superávit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en </w:t>
            </w:r>
            <w:r w:rsidR="00470F59" w:rsidRPr="009C75C1">
              <w:rPr>
                <w:rFonts w:ascii="Verdana" w:hAnsi="Verdana" w:cs="Arial"/>
                <w:sz w:val="20"/>
                <w:szCs w:val="20"/>
              </w:rPr>
              <w:t>la</w:t>
            </w:r>
            <w:r w:rsidR="00470F5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F59" w:rsidRPr="009C75C1">
              <w:rPr>
                <w:rFonts w:ascii="Verdana" w:hAnsi="Verdana" w:cs="Arial"/>
                <w:sz w:val="20"/>
                <w:szCs w:val="20"/>
              </w:rPr>
              <w:t>ejecución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 de transferencias corrientes por </w:t>
            </w:r>
            <w:r w:rsidR="0049188E">
              <w:rPr>
                <w:rFonts w:ascii="Verdana" w:hAnsi="Verdana" w:cs="Arial"/>
                <w:sz w:val="20"/>
                <w:szCs w:val="20"/>
              </w:rPr>
              <w:t>2.069</w:t>
            </w:r>
            <w:r w:rsidR="009E2C85">
              <w:rPr>
                <w:rFonts w:ascii="Verdana" w:hAnsi="Verdana" w:cs="Arial"/>
                <w:sz w:val="20"/>
                <w:szCs w:val="20"/>
              </w:rPr>
              <w:t>,</w:t>
            </w:r>
            <w:r w:rsidR="0049188E">
              <w:rPr>
                <w:rFonts w:ascii="Verdana" w:hAnsi="Verdana" w:cs="Arial"/>
                <w:sz w:val="20"/>
                <w:szCs w:val="20"/>
              </w:rPr>
              <w:t>9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 millones, discriminado así: i) </w:t>
            </w:r>
            <w:r w:rsidR="009E2C85">
              <w:rPr>
                <w:rFonts w:ascii="Verdana" w:hAnsi="Verdana" w:cs="Arial"/>
                <w:sz w:val="20"/>
                <w:szCs w:val="20"/>
              </w:rPr>
              <w:t>Superávit</w:t>
            </w:r>
            <w:r w:rsidR="00470513" w:rsidRPr="0049603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49188E">
              <w:rPr>
                <w:rFonts w:ascii="Verdana" w:hAnsi="Verdana" w:cs="Arial"/>
                <w:sz w:val="20"/>
                <w:szCs w:val="20"/>
              </w:rPr>
              <w:t>2.105</w:t>
            </w:r>
            <w:r w:rsidR="009E2C85">
              <w:rPr>
                <w:rFonts w:ascii="Verdana" w:hAnsi="Verdana" w:cs="Arial"/>
                <w:sz w:val="20"/>
                <w:szCs w:val="20"/>
              </w:rPr>
              <w:t>,</w:t>
            </w:r>
            <w:r w:rsidR="0049188E">
              <w:rPr>
                <w:rFonts w:ascii="Verdana" w:hAnsi="Verdana" w:cs="Arial"/>
                <w:sz w:val="20"/>
                <w:szCs w:val="20"/>
              </w:rPr>
              <w:t>7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millones</w:t>
            </w:r>
            <w:r w:rsidR="00470513" w:rsidRPr="003C7488">
              <w:rPr>
                <w:rFonts w:ascii="Verdana" w:hAnsi="Verdana" w:cs="Arial"/>
                <w:sz w:val="20"/>
                <w:szCs w:val="20"/>
              </w:rPr>
              <w:t xml:space="preserve"> de recursos provenientes del FOCAI debido </w:t>
            </w:r>
            <w:r w:rsidR="009E2C85">
              <w:rPr>
                <w:rFonts w:ascii="Verdana" w:hAnsi="Verdana" w:cs="Arial"/>
                <w:sz w:val="20"/>
                <w:szCs w:val="20"/>
              </w:rPr>
              <w:t>a que se</w:t>
            </w:r>
            <w:r w:rsidR="00E1676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8206C">
              <w:rPr>
                <w:rFonts w:ascii="Verdana" w:hAnsi="Verdana" w:cs="Arial"/>
                <w:sz w:val="20"/>
                <w:szCs w:val="20"/>
              </w:rPr>
              <w:t>registraron aportes voluntarios y asistencias humanitarias</w:t>
            </w:r>
            <w:r w:rsidR="009E2C85">
              <w:rPr>
                <w:rFonts w:ascii="Verdana" w:hAnsi="Verdana" w:cs="Arial"/>
                <w:sz w:val="20"/>
                <w:szCs w:val="20"/>
              </w:rPr>
              <w:t xml:space="preserve"> ii</w:t>
            </w:r>
            <w:r w:rsidR="00470513" w:rsidRPr="0049603A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se presentó </w:t>
            </w:r>
            <w:r w:rsidR="00F2219E">
              <w:rPr>
                <w:rFonts w:ascii="Verdana" w:hAnsi="Verdana" w:cs="Arial"/>
                <w:sz w:val="20"/>
                <w:szCs w:val="20"/>
              </w:rPr>
              <w:t>déficit</w:t>
            </w:r>
            <w:r w:rsidR="009E2C85">
              <w:rPr>
                <w:rFonts w:ascii="Verdana" w:hAnsi="Verdana" w:cs="Arial"/>
                <w:sz w:val="20"/>
                <w:szCs w:val="20"/>
              </w:rPr>
              <w:t xml:space="preserve"> de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9188E">
              <w:rPr>
                <w:rFonts w:ascii="Verdana" w:hAnsi="Verdana" w:cs="Arial"/>
                <w:sz w:val="20"/>
                <w:szCs w:val="20"/>
              </w:rPr>
              <w:t>3</w:t>
            </w:r>
            <w:r w:rsidR="00246760">
              <w:rPr>
                <w:rFonts w:ascii="Verdana" w:hAnsi="Verdana" w:cs="Arial"/>
                <w:sz w:val="20"/>
                <w:szCs w:val="20"/>
              </w:rPr>
              <w:t>5</w:t>
            </w:r>
            <w:r w:rsidR="003C6BE9">
              <w:rPr>
                <w:rFonts w:ascii="Verdana" w:hAnsi="Verdana" w:cs="Arial"/>
                <w:sz w:val="20"/>
                <w:szCs w:val="20"/>
              </w:rPr>
              <w:t>,</w:t>
            </w:r>
            <w:r w:rsidR="0049188E">
              <w:rPr>
                <w:rFonts w:ascii="Verdana" w:hAnsi="Verdana" w:cs="Arial"/>
                <w:sz w:val="20"/>
                <w:szCs w:val="20"/>
              </w:rPr>
              <w:t>8 millones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 de</w:t>
            </w:r>
            <w:r w:rsidR="009E3D48">
              <w:rPr>
                <w:rFonts w:ascii="Verdana" w:hAnsi="Verdana" w:cs="Arial"/>
                <w:sz w:val="20"/>
                <w:szCs w:val="20"/>
              </w:rPr>
              <w:t>l rubro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de incapacidades y licencias de maternidad</w:t>
            </w:r>
            <w:r w:rsidR="00D9392B">
              <w:rPr>
                <w:rFonts w:ascii="Verdana" w:hAnsi="Verdana" w:cs="Arial"/>
                <w:sz w:val="20"/>
                <w:szCs w:val="20"/>
              </w:rPr>
              <w:t>,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C6BE9">
              <w:rPr>
                <w:rFonts w:ascii="Verdana" w:hAnsi="Verdana" w:cs="Arial"/>
                <w:sz w:val="20"/>
                <w:szCs w:val="20"/>
              </w:rPr>
              <w:t>debido a que</w:t>
            </w:r>
            <w:r w:rsidR="009E3D4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513">
              <w:rPr>
                <w:rFonts w:ascii="Verdana" w:hAnsi="Verdana" w:cs="Arial"/>
                <w:sz w:val="20"/>
                <w:szCs w:val="20"/>
              </w:rPr>
              <w:t>este rubro</w:t>
            </w:r>
            <w:r w:rsidR="009E3D4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2C85">
              <w:rPr>
                <w:rFonts w:ascii="Verdana" w:hAnsi="Verdana" w:cs="Arial"/>
                <w:sz w:val="20"/>
                <w:szCs w:val="20"/>
              </w:rPr>
              <w:t>es variable</w:t>
            </w:r>
            <w:r w:rsidR="00470513" w:rsidRPr="00F14E61">
              <w:rPr>
                <w:rFonts w:ascii="Verdana" w:hAnsi="Verdana" w:cs="Arial"/>
                <w:sz w:val="20"/>
                <w:szCs w:val="20"/>
              </w:rPr>
              <w:t xml:space="preserve"> según las incapacidades y licencias que radican el talento humano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CFCCE08" w14:textId="77777777" w:rsidR="00CB005B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B51C55E" w14:textId="41BCC0F9" w:rsidR="00E457C4" w:rsidRDefault="00A67EEC" w:rsidP="007A2CB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457C4">
              <w:rPr>
                <w:rFonts w:ascii="Verdana" w:hAnsi="Verdana"/>
                <w:b/>
                <w:sz w:val="20"/>
                <w:szCs w:val="20"/>
                <w:u w:val="single"/>
              </w:rPr>
              <w:t>Gastos de inversión:</w:t>
            </w:r>
            <w:r w:rsidRPr="00E457C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1B66" w:rsidRPr="00E457C4">
              <w:rPr>
                <w:rFonts w:ascii="Verdana" w:hAnsi="Verdana"/>
                <w:sz w:val="20"/>
                <w:szCs w:val="20"/>
              </w:rPr>
              <w:t>La ejecución en inversión tiene déficit de 2.</w:t>
            </w:r>
            <w:r w:rsidR="0049188E" w:rsidRPr="00E457C4">
              <w:rPr>
                <w:rFonts w:ascii="Verdana" w:hAnsi="Verdana"/>
                <w:sz w:val="20"/>
                <w:szCs w:val="20"/>
              </w:rPr>
              <w:t>913</w:t>
            </w:r>
            <w:r w:rsidR="00BD1B66" w:rsidRPr="00E457C4">
              <w:rPr>
                <w:rFonts w:ascii="Verdana" w:hAnsi="Verdana"/>
                <w:sz w:val="20"/>
                <w:szCs w:val="20"/>
              </w:rPr>
              <w:t>,</w:t>
            </w:r>
            <w:r w:rsidR="0049188E" w:rsidRPr="00E457C4">
              <w:rPr>
                <w:rFonts w:ascii="Verdana" w:hAnsi="Verdana"/>
                <w:sz w:val="20"/>
                <w:szCs w:val="20"/>
              </w:rPr>
              <w:t>0</w:t>
            </w:r>
            <w:r w:rsidR="00BD1B66" w:rsidRPr="00E457C4">
              <w:rPr>
                <w:rFonts w:ascii="Verdana" w:hAnsi="Verdana"/>
                <w:sz w:val="20"/>
                <w:szCs w:val="20"/>
              </w:rPr>
              <w:t xml:space="preserve"> millones debido a que durante la vigencia 2020 en el rubro de Administración de recursos </w:t>
            </w:r>
            <w:r w:rsidR="00E457C4" w:rsidRPr="00E457C4">
              <w:rPr>
                <w:rFonts w:ascii="Verdana" w:hAnsi="Verdana"/>
                <w:sz w:val="20"/>
                <w:szCs w:val="20"/>
              </w:rPr>
              <w:t xml:space="preserve">a la fecha no se ha podido firmar el contrato de agente </w:t>
            </w:r>
            <w:r w:rsidR="00E457C4">
              <w:rPr>
                <w:rFonts w:ascii="Verdana" w:hAnsi="Verdana"/>
                <w:sz w:val="20"/>
                <w:szCs w:val="20"/>
              </w:rPr>
              <w:t>c</w:t>
            </w:r>
            <w:r w:rsidR="00E457C4" w:rsidRPr="00E457C4">
              <w:rPr>
                <w:rFonts w:ascii="Verdana" w:hAnsi="Verdana"/>
                <w:sz w:val="20"/>
                <w:szCs w:val="20"/>
              </w:rPr>
              <w:t xml:space="preserve">on JICS </w:t>
            </w:r>
            <w:r w:rsidR="00E457C4">
              <w:rPr>
                <w:rFonts w:ascii="Verdana" w:hAnsi="Verdana"/>
                <w:sz w:val="20"/>
                <w:szCs w:val="20"/>
              </w:rPr>
              <w:t xml:space="preserve">con el fin de adquirir los bienes y servicios de la donación del gobierno de </w:t>
            </w:r>
            <w:r w:rsidR="00E457C4">
              <w:rPr>
                <w:rFonts w:ascii="Verdana" w:hAnsi="Verdana"/>
                <w:sz w:val="20"/>
                <w:szCs w:val="20"/>
              </w:rPr>
              <w:lastRenderedPageBreak/>
              <w:t xml:space="preserve">Japón, </w:t>
            </w:r>
            <w:r w:rsidR="007B096C">
              <w:rPr>
                <w:rFonts w:ascii="Verdana" w:hAnsi="Verdana"/>
                <w:sz w:val="20"/>
                <w:szCs w:val="20"/>
              </w:rPr>
              <w:t>las subsanaciones de estos inconvenientes están</w:t>
            </w:r>
            <w:r w:rsidR="00E457C4">
              <w:rPr>
                <w:rFonts w:ascii="Verdana" w:hAnsi="Verdana"/>
                <w:sz w:val="20"/>
                <w:szCs w:val="20"/>
              </w:rPr>
              <w:t xml:space="preserve"> en manos de la Cancillería Colombiana.</w:t>
            </w:r>
          </w:p>
          <w:p w14:paraId="499F1017" w14:textId="77777777" w:rsidR="00E457C4" w:rsidRPr="00E457C4" w:rsidRDefault="00E457C4" w:rsidP="00E457C4">
            <w:pPr>
              <w:pStyle w:val="Prrafodelista"/>
              <w:ind w:left="435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430105" w14:textId="61FBF604" w:rsidR="00464CE7" w:rsidRPr="00ED6E49" w:rsidRDefault="00E279ED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536BA">
              <w:rPr>
                <w:rFonts w:ascii="Verdana" w:hAnsi="Verdana"/>
                <w:sz w:val="20"/>
              </w:rPr>
              <w:t xml:space="preserve">El </w:t>
            </w:r>
            <w:r w:rsidR="00A15411" w:rsidRPr="004536BA">
              <w:rPr>
                <w:rFonts w:ascii="Verdana" w:hAnsi="Verdana"/>
                <w:sz w:val="20"/>
              </w:rPr>
              <w:t>63,</w:t>
            </w:r>
            <w:r w:rsidR="004536BA" w:rsidRPr="004536BA">
              <w:rPr>
                <w:rFonts w:ascii="Verdana" w:hAnsi="Verdana"/>
                <w:sz w:val="20"/>
              </w:rPr>
              <w:t>48</w:t>
            </w:r>
            <w:r w:rsidRPr="004536BA">
              <w:rPr>
                <w:rFonts w:ascii="Verdana" w:hAnsi="Verdana"/>
                <w:sz w:val="20"/>
              </w:rPr>
              <w:t xml:space="preserve">% de la ejecución corresponde a los gastos de funcionamiento y el </w:t>
            </w:r>
            <w:r w:rsidR="00A15411" w:rsidRPr="004536BA">
              <w:rPr>
                <w:rFonts w:ascii="Verdana" w:hAnsi="Verdana"/>
                <w:sz w:val="20"/>
              </w:rPr>
              <w:t>36</w:t>
            </w:r>
            <w:r w:rsidR="00246760" w:rsidRPr="004536BA">
              <w:rPr>
                <w:rFonts w:ascii="Verdana" w:hAnsi="Verdana"/>
                <w:sz w:val="20"/>
              </w:rPr>
              <w:t>,</w:t>
            </w:r>
            <w:r w:rsidR="004536BA" w:rsidRPr="004536BA">
              <w:rPr>
                <w:rFonts w:ascii="Verdana" w:hAnsi="Verdana"/>
                <w:sz w:val="20"/>
              </w:rPr>
              <w:t>52</w:t>
            </w:r>
            <w:r w:rsidRPr="004536BA">
              <w:rPr>
                <w:rFonts w:ascii="Verdana" w:hAnsi="Verdana"/>
                <w:sz w:val="20"/>
              </w:rPr>
              <w:t>% a los gastos de inversión.</w:t>
            </w:r>
          </w:p>
          <w:p w14:paraId="2B8AE5A6" w14:textId="77777777" w:rsidR="00E279ED" w:rsidRPr="00ED6E49" w:rsidRDefault="00E279ED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98DA10" w14:textId="77777777" w:rsidR="00A67EEC" w:rsidRPr="004D5B1A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D6E49">
              <w:rPr>
                <w:rFonts w:ascii="Verdana" w:hAnsi="Verdana"/>
                <w:sz w:val="20"/>
                <w:szCs w:val="20"/>
              </w:rPr>
              <w:t>La ejecución de los gastos de funcionamiento estuvo distribuida de la siguiente manera:</w:t>
            </w:r>
            <w:r w:rsidRPr="004D5B1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4F2599A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00642EDC" w14:textId="3E32D7E4" w:rsidR="00A2238C" w:rsidRPr="000139BE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39BE">
              <w:rPr>
                <w:rFonts w:ascii="Verdana" w:hAnsi="Verdana" w:cs="Arial"/>
                <w:sz w:val="20"/>
                <w:szCs w:val="20"/>
              </w:rPr>
              <w:t xml:space="preserve">1) Los gastos de personal representan el </w:t>
            </w:r>
            <w:r w:rsidR="00246760">
              <w:rPr>
                <w:rFonts w:ascii="Verdana" w:hAnsi="Verdana" w:cs="Arial"/>
                <w:sz w:val="20"/>
                <w:szCs w:val="20"/>
              </w:rPr>
              <w:t>3</w:t>
            </w:r>
            <w:r w:rsidR="004536BA">
              <w:rPr>
                <w:rFonts w:ascii="Verdana" w:hAnsi="Verdana" w:cs="Arial"/>
                <w:sz w:val="20"/>
                <w:szCs w:val="20"/>
              </w:rPr>
              <w:t>2</w:t>
            </w:r>
            <w:r w:rsidR="00246760">
              <w:rPr>
                <w:rFonts w:ascii="Verdana" w:hAnsi="Verdana" w:cs="Arial"/>
                <w:sz w:val="20"/>
                <w:szCs w:val="20"/>
              </w:rPr>
              <w:t>,</w:t>
            </w:r>
            <w:r w:rsidR="00D61838">
              <w:rPr>
                <w:rFonts w:ascii="Verdana" w:hAnsi="Verdana" w:cs="Arial"/>
                <w:sz w:val="20"/>
                <w:szCs w:val="20"/>
              </w:rPr>
              <w:t>7</w:t>
            </w:r>
            <w:r w:rsidR="004536BA">
              <w:rPr>
                <w:rFonts w:ascii="Verdana" w:hAnsi="Verdana" w:cs="Arial"/>
                <w:sz w:val="20"/>
                <w:szCs w:val="20"/>
              </w:rPr>
              <w:t>4</w:t>
            </w:r>
            <w:r w:rsidRPr="000139BE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1E664D18" w14:textId="1AC8D18A" w:rsidR="00A2238C" w:rsidRPr="000139BE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39BE">
              <w:rPr>
                <w:rFonts w:ascii="Verdana" w:hAnsi="Verdana" w:cs="Arial"/>
                <w:sz w:val="20"/>
                <w:szCs w:val="20"/>
              </w:rPr>
              <w:t xml:space="preserve">2) Los gastos por adquisición de bienes y servicios representan el </w:t>
            </w:r>
            <w:r w:rsidR="00D61838">
              <w:rPr>
                <w:rFonts w:ascii="Verdana" w:hAnsi="Verdana" w:cs="Arial"/>
                <w:sz w:val="20"/>
                <w:szCs w:val="20"/>
              </w:rPr>
              <w:t>1</w:t>
            </w:r>
            <w:r w:rsidR="004536BA">
              <w:rPr>
                <w:rFonts w:ascii="Verdana" w:hAnsi="Verdana" w:cs="Arial"/>
                <w:sz w:val="20"/>
                <w:szCs w:val="20"/>
              </w:rPr>
              <w:t>2</w:t>
            </w:r>
            <w:r w:rsidR="00D61838">
              <w:rPr>
                <w:rFonts w:ascii="Verdana" w:hAnsi="Verdana" w:cs="Arial"/>
                <w:sz w:val="20"/>
                <w:szCs w:val="20"/>
              </w:rPr>
              <w:t>,</w:t>
            </w:r>
            <w:r w:rsidR="004536BA">
              <w:rPr>
                <w:rFonts w:ascii="Verdana" w:hAnsi="Verdana" w:cs="Arial"/>
                <w:sz w:val="20"/>
                <w:szCs w:val="20"/>
              </w:rPr>
              <w:t>17</w:t>
            </w:r>
            <w:r w:rsidRPr="000139BE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55A85AC6" w14:textId="6E2B3117" w:rsidR="00A2238C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3)</w:t>
            </w:r>
            <w:r w:rsidRPr="000139BE">
              <w:rPr>
                <w:rFonts w:ascii="Verdana" w:hAnsi="Verdana" w:cs="Arial"/>
                <w:sz w:val="20"/>
                <w:szCs w:val="20"/>
              </w:rPr>
              <w:t xml:space="preserve"> Los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 gastos de transferencias corrientes representan el </w:t>
            </w:r>
            <w:r w:rsidR="00246760">
              <w:rPr>
                <w:rFonts w:ascii="Verdana" w:hAnsi="Verdana" w:cs="Arial"/>
                <w:sz w:val="20"/>
                <w:szCs w:val="20"/>
              </w:rPr>
              <w:t>54,</w:t>
            </w:r>
            <w:r w:rsidR="004536BA">
              <w:rPr>
                <w:rFonts w:ascii="Verdana" w:hAnsi="Verdana" w:cs="Arial"/>
                <w:sz w:val="20"/>
                <w:szCs w:val="20"/>
              </w:rPr>
              <w:t>37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D61838">
              <w:rPr>
                <w:rFonts w:ascii="Verdana" w:hAnsi="Verdana" w:cs="Arial"/>
                <w:sz w:val="20"/>
                <w:szCs w:val="20"/>
              </w:rPr>
              <w:t>54,</w:t>
            </w:r>
            <w:r w:rsidR="004536BA">
              <w:rPr>
                <w:rFonts w:ascii="Verdana" w:hAnsi="Verdana" w:cs="Arial"/>
                <w:sz w:val="20"/>
                <w:szCs w:val="20"/>
              </w:rPr>
              <w:t>25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0,</w:t>
            </w:r>
            <w:r w:rsidR="00E1676C">
              <w:rPr>
                <w:rFonts w:ascii="Verdana" w:hAnsi="Verdana" w:cs="Arial"/>
                <w:sz w:val="20"/>
                <w:szCs w:val="20"/>
              </w:rPr>
              <w:t>1</w:t>
            </w:r>
            <w:r w:rsidR="00D61838">
              <w:rPr>
                <w:rFonts w:ascii="Verdana" w:hAnsi="Verdana" w:cs="Arial"/>
                <w:sz w:val="20"/>
                <w:szCs w:val="20"/>
              </w:rPr>
              <w:t>2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>% a Incapacidades y Licencias de maternidad y paternidad.</w:t>
            </w:r>
          </w:p>
          <w:p w14:paraId="36AF49FA" w14:textId="737BBEC0" w:rsidR="0012189C" w:rsidRPr="000139BE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Los gastos </w:t>
            </w:r>
            <w:r w:rsidRPr="0012189C">
              <w:rPr>
                <w:rFonts w:ascii="Verdana" w:hAnsi="Verdana" w:cs="Arial"/>
                <w:sz w:val="20"/>
                <w:szCs w:val="20"/>
              </w:rPr>
              <w:t>por tributos, multas, sanciones e intereses de mora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presentan el 0,</w:t>
            </w:r>
            <w:r w:rsidR="004536BA">
              <w:rPr>
                <w:rFonts w:ascii="Verdana" w:hAnsi="Verdana" w:cs="Arial"/>
                <w:sz w:val="20"/>
                <w:szCs w:val="20"/>
              </w:rPr>
              <w:t>73</w:t>
            </w:r>
            <w:r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7DB5D2CF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7ABAB455" w14:textId="55A61175" w:rsidR="00E1676C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176DD">
              <w:rPr>
                <w:rFonts w:ascii="Verdana" w:hAnsi="Verdana"/>
                <w:sz w:val="20"/>
                <w:szCs w:val="20"/>
              </w:rPr>
              <w:t>La ejecución de los gastos de inversión estuvo distribuida así:</w:t>
            </w:r>
          </w:p>
          <w:p w14:paraId="5EF89868" w14:textId="77777777" w:rsidR="00E1676C" w:rsidRDefault="00E1676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3654AFB" w14:textId="6E58CB86" w:rsidR="00A67EEC" w:rsidRPr="00E1676C" w:rsidRDefault="00E1676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Contrapartidas Nacional con el </w:t>
            </w:r>
            <w:r w:rsidR="004536BA">
              <w:rPr>
                <w:rFonts w:ascii="Verdana" w:hAnsi="Verdana"/>
                <w:sz w:val="20"/>
                <w:szCs w:val="20"/>
              </w:rPr>
              <w:t>12</w:t>
            </w:r>
            <w:r w:rsidR="00D61838">
              <w:rPr>
                <w:rFonts w:ascii="Verdana" w:hAnsi="Verdana"/>
                <w:sz w:val="20"/>
                <w:szCs w:val="20"/>
              </w:rPr>
              <w:t>,</w:t>
            </w:r>
            <w:r w:rsidR="004536BA">
              <w:rPr>
                <w:rFonts w:ascii="Verdana" w:hAnsi="Verdana"/>
                <w:sz w:val="20"/>
                <w:szCs w:val="20"/>
              </w:rPr>
              <w:t>75</w:t>
            </w:r>
            <w:r>
              <w:rPr>
                <w:rFonts w:ascii="Verdana" w:hAnsi="Verdana"/>
                <w:sz w:val="20"/>
                <w:szCs w:val="20"/>
              </w:rPr>
              <w:t xml:space="preserve">% de la ejecución en </w:t>
            </w:r>
            <w:r w:rsidR="00E75D5F">
              <w:rPr>
                <w:rFonts w:ascii="Verdana" w:hAnsi="Verdana"/>
                <w:sz w:val="20"/>
                <w:szCs w:val="20"/>
              </w:rPr>
              <w:t>inversión, equivalente</w:t>
            </w:r>
            <w:r>
              <w:rPr>
                <w:rFonts w:ascii="Verdana" w:hAnsi="Verdana"/>
                <w:sz w:val="20"/>
                <w:szCs w:val="20"/>
              </w:rPr>
              <w:t xml:space="preserve"> a 1.</w:t>
            </w:r>
            <w:r w:rsidR="004536BA">
              <w:rPr>
                <w:rFonts w:ascii="Verdana" w:hAnsi="Verdana"/>
                <w:sz w:val="20"/>
                <w:szCs w:val="20"/>
              </w:rPr>
              <w:t>925,</w:t>
            </w:r>
            <w:r>
              <w:rPr>
                <w:rFonts w:ascii="Verdana" w:hAnsi="Verdana"/>
                <w:sz w:val="20"/>
                <w:szCs w:val="20"/>
              </w:rPr>
              <w:t xml:space="preserve">3 millones para el convenio con </w:t>
            </w:r>
            <w:r w:rsidRPr="00E1676C">
              <w:rPr>
                <w:rFonts w:ascii="Verdana" w:hAnsi="Verdana"/>
                <w:sz w:val="20"/>
                <w:szCs w:val="20"/>
              </w:rPr>
              <w:t xml:space="preserve">Corporación Parque tecnológico De innovación Del café Y Su </w:t>
            </w:r>
            <w:r w:rsidR="00246760" w:rsidRPr="00E1676C">
              <w:rPr>
                <w:rFonts w:ascii="Verdana" w:hAnsi="Verdana"/>
                <w:sz w:val="20"/>
                <w:szCs w:val="20"/>
              </w:rPr>
              <w:t>Caficultura</w:t>
            </w:r>
            <w:r w:rsidR="00246760" w:rsidRPr="00B176D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Convenio con </w:t>
            </w:r>
            <w:r w:rsidRPr="00E1676C">
              <w:rPr>
                <w:rFonts w:ascii="Verdana" w:hAnsi="Verdana"/>
                <w:sz w:val="20"/>
                <w:szCs w:val="20"/>
              </w:rPr>
              <w:t>Federación Campesina Del Cauca F.C.C</w:t>
            </w:r>
            <w:r w:rsidR="004536BA">
              <w:rPr>
                <w:rFonts w:ascii="Verdana" w:hAnsi="Verdana"/>
                <w:sz w:val="20"/>
                <w:szCs w:val="20"/>
              </w:rPr>
              <w:t>, C</w:t>
            </w:r>
            <w:r>
              <w:rPr>
                <w:rFonts w:ascii="Verdana" w:hAnsi="Verdana"/>
                <w:sz w:val="20"/>
                <w:szCs w:val="20"/>
              </w:rPr>
              <w:t xml:space="preserve">onvenio con </w:t>
            </w:r>
            <w:r w:rsidRPr="00E1676C">
              <w:rPr>
                <w:rFonts w:ascii="Verdana" w:hAnsi="Verdana"/>
                <w:sz w:val="20"/>
                <w:szCs w:val="20"/>
              </w:rPr>
              <w:t>Fondo Para La acción Ambiental Y La Niñez</w:t>
            </w:r>
            <w:r>
              <w:rPr>
                <w:rFonts w:ascii="Verdana" w:hAnsi="Verdana"/>
                <w:sz w:val="20"/>
                <w:szCs w:val="20"/>
              </w:rPr>
              <w:t xml:space="preserve">, convenio Con La </w:t>
            </w:r>
            <w:r w:rsidRPr="00E1676C">
              <w:rPr>
                <w:rFonts w:ascii="Verdana" w:hAnsi="Verdana"/>
                <w:sz w:val="20"/>
                <w:szCs w:val="20"/>
              </w:rPr>
              <w:t>Fundación Corona</w:t>
            </w:r>
            <w:r>
              <w:rPr>
                <w:rFonts w:ascii="Verdana" w:hAnsi="Verdana"/>
                <w:sz w:val="20"/>
                <w:szCs w:val="20"/>
              </w:rPr>
              <w:t xml:space="preserve">, convenio con INFIVALLE y convenio con </w:t>
            </w:r>
            <w:r w:rsidRPr="00E1676C">
              <w:rPr>
                <w:rFonts w:ascii="Verdana" w:hAnsi="Verdana"/>
                <w:sz w:val="20"/>
                <w:szCs w:val="20"/>
              </w:rPr>
              <w:t xml:space="preserve">International </w:t>
            </w:r>
            <w:r w:rsidR="00A13924" w:rsidRPr="00E1676C">
              <w:rPr>
                <w:rFonts w:ascii="Verdana" w:hAnsi="Verdana"/>
                <w:sz w:val="20"/>
                <w:szCs w:val="20"/>
              </w:rPr>
              <w:t>Recuse</w:t>
            </w:r>
            <w:r w:rsidRPr="00E1676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13924" w:rsidRPr="00E1676C">
              <w:rPr>
                <w:rFonts w:ascii="Verdana" w:hAnsi="Verdana"/>
                <w:sz w:val="20"/>
                <w:szCs w:val="20"/>
              </w:rPr>
              <w:t>Comité</w:t>
            </w:r>
            <w:r w:rsidRPr="00E1676C">
              <w:rPr>
                <w:rFonts w:ascii="Verdana" w:hAnsi="Verdana"/>
                <w:sz w:val="20"/>
                <w:szCs w:val="20"/>
              </w:rPr>
              <w:t xml:space="preserve"> Comité Internacional De Rescate, </w:t>
            </w:r>
            <w:r w:rsidR="004536BA">
              <w:rPr>
                <w:rFonts w:ascii="Verdana" w:hAnsi="Verdana"/>
                <w:sz w:val="20"/>
                <w:szCs w:val="20"/>
              </w:rPr>
              <w:t>INC,</w:t>
            </w:r>
          </w:p>
          <w:p w14:paraId="1FFA5BB9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629D8832" w14:textId="47516900" w:rsidR="00A67EEC" w:rsidRPr="00B176DD" w:rsidRDefault="00E1676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A67EEC" w:rsidRPr="00B176DD">
              <w:rPr>
                <w:rFonts w:ascii="Verdana" w:hAnsi="Verdana"/>
                <w:sz w:val="20"/>
                <w:szCs w:val="20"/>
              </w:rPr>
              <w:t xml:space="preserve">) Administración de Recursos de Cooperación con el </w:t>
            </w:r>
            <w:r w:rsidR="004536BA">
              <w:rPr>
                <w:rFonts w:ascii="Verdana" w:hAnsi="Verdana"/>
                <w:sz w:val="20"/>
                <w:szCs w:val="20"/>
              </w:rPr>
              <w:t>83,23</w:t>
            </w:r>
            <w:r w:rsidR="00A67EEC" w:rsidRPr="00B176DD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4536BA">
              <w:rPr>
                <w:rFonts w:ascii="Verdana" w:hAnsi="Verdana"/>
                <w:sz w:val="20"/>
                <w:szCs w:val="20"/>
              </w:rPr>
              <w:t>12.567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4536BA">
              <w:rPr>
                <w:rFonts w:ascii="Verdana" w:hAnsi="Verdana"/>
                <w:sz w:val="20"/>
                <w:szCs w:val="20"/>
              </w:rPr>
              <w:t>5</w:t>
            </w:r>
            <w:r w:rsidR="00A67EEC" w:rsidRPr="00B176DD">
              <w:rPr>
                <w:rFonts w:ascii="Verdana" w:hAnsi="Verdana"/>
                <w:sz w:val="20"/>
                <w:szCs w:val="20"/>
              </w:rPr>
              <w:t xml:space="preserve"> millones, distribuidos así: </w:t>
            </w:r>
          </w:p>
          <w:p w14:paraId="507EC4A6" w14:textId="77777777" w:rsidR="00A67EEC" w:rsidRPr="00B176DD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A4AF005" w14:textId="7214E5B9" w:rsidR="00EA37E9" w:rsidRPr="00EA37E9" w:rsidRDefault="00E1676C" w:rsidP="00AA61B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</w:t>
            </w:r>
            <w:r w:rsidR="00D61838">
              <w:rPr>
                <w:rFonts w:ascii="Verdana" w:hAnsi="Verdana"/>
                <w:sz w:val="20"/>
                <w:szCs w:val="20"/>
              </w:rPr>
              <w:t>023</w:t>
            </w:r>
            <w:r w:rsidR="0012189C">
              <w:rPr>
                <w:rFonts w:ascii="Verdana" w:hAnsi="Verdana"/>
                <w:sz w:val="20"/>
                <w:szCs w:val="20"/>
              </w:rPr>
              <w:t>,</w:t>
            </w:r>
            <w:r w:rsidR="00D61838">
              <w:rPr>
                <w:rFonts w:ascii="Verdana" w:hAnsi="Verdana"/>
                <w:sz w:val="20"/>
                <w:szCs w:val="20"/>
              </w:rPr>
              <w:t>4</w:t>
            </w:r>
            <w:r w:rsidR="00BA6542" w:rsidRPr="00EA37E9">
              <w:rPr>
                <w:rFonts w:ascii="Verdana" w:hAnsi="Verdana"/>
                <w:sz w:val="20"/>
                <w:szCs w:val="20"/>
              </w:rPr>
              <w:t xml:space="preserve"> mil</w:t>
            </w:r>
            <w:r w:rsidR="00EA37E9">
              <w:rPr>
                <w:rFonts w:ascii="Verdana" w:hAnsi="Verdana"/>
                <w:sz w:val="20"/>
                <w:szCs w:val="20"/>
              </w:rPr>
              <w:t>l</w:t>
            </w:r>
            <w:r w:rsidR="00BA6542" w:rsidRPr="00EA37E9">
              <w:rPr>
                <w:rFonts w:ascii="Verdana" w:hAnsi="Verdana"/>
                <w:sz w:val="20"/>
                <w:szCs w:val="20"/>
              </w:rPr>
              <w:t>ones por cuenta del proyecto</w:t>
            </w:r>
            <w:r w:rsidR="00EA37E9" w:rsidRPr="00EA37E9">
              <w:rPr>
                <w:rFonts w:ascii="Verdana" w:hAnsi="Verdana"/>
                <w:sz w:val="20"/>
                <w:szCs w:val="20"/>
              </w:rPr>
              <w:t>”</w:t>
            </w:r>
            <w:r w:rsidR="00EA37E9" w:rsidRPr="00EA37E9">
              <w:rPr>
                <w:rFonts w:ascii="Verdana" w:hAnsi="Verdana" w:cs="Arial"/>
                <w:sz w:val="20"/>
                <w:szCs w:val="20"/>
              </w:rPr>
              <w:t xml:space="preserve"> Estrategia regional de emprendimiento” financiado con recursos donados por la Unión Europea.</w:t>
            </w:r>
          </w:p>
          <w:p w14:paraId="17E6AFE2" w14:textId="1E706E24" w:rsidR="0098385D" w:rsidRDefault="00E1676C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  <w:r w:rsidR="00D61838">
              <w:rPr>
                <w:rFonts w:ascii="Verdana" w:hAnsi="Verdana"/>
                <w:sz w:val="20"/>
                <w:szCs w:val="20"/>
              </w:rPr>
              <w:t>255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D61838">
              <w:rPr>
                <w:rFonts w:ascii="Verdana" w:hAnsi="Verdana"/>
                <w:sz w:val="20"/>
                <w:szCs w:val="20"/>
              </w:rPr>
              <w:t>0</w:t>
            </w:r>
            <w:r w:rsidR="00D517D1" w:rsidRPr="0098385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67EEC" w:rsidRPr="0098385D">
              <w:rPr>
                <w:rFonts w:ascii="Verdana" w:hAnsi="Verdana"/>
                <w:sz w:val="20"/>
                <w:szCs w:val="20"/>
              </w:rPr>
              <w:t>millones por cuenta del proyecto de desminado terrestre en el marco del convenio de subvención firmado c</w:t>
            </w:r>
            <w:r w:rsidR="00EA3C52" w:rsidRPr="0098385D">
              <w:rPr>
                <w:rFonts w:ascii="Verdana" w:hAnsi="Verdana"/>
                <w:sz w:val="20"/>
                <w:szCs w:val="20"/>
              </w:rPr>
              <w:t xml:space="preserve">on la fundación Howard 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Buffet</w:t>
            </w:r>
            <w:r w:rsidR="00EA3C52" w:rsidRPr="0098385D">
              <w:rPr>
                <w:rFonts w:ascii="Verdana" w:hAnsi="Verdana"/>
                <w:sz w:val="20"/>
                <w:szCs w:val="20"/>
              </w:rPr>
              <w:t>.</w:t>
            </w:r>
          </w:p>
          <w:p w14:paraId="07F63032" w14:textId="1DD6D493" w:rsidR="00A2238C" w:rsidRDefault="00E75D5F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D61838">
              <w:rPr>
                <w:rFonts w:ascii="Verdana" w:hAnsi="Verdana"/>
                <w:sz w:val="20"/>
                <w:szCs w:val="20"/>
              </w:rPr>
              <w:t>68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D61838">
              <w:rPr>
                <w:rFonts w:ascii="Verdana" w:hAnsi="Verdana"/>
                <w:sz w:val="20"/>
                <w:szCs w:val="20"/>
              </w:rPr>
              <w:t>6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 xml:space="preserve"> millones por cuenta del proyecto Fondo Verde del Clima.</w:t>
            </w:r>
          </w:p>
          <w:p w14:paraId="0AA39F65" w14:textId="198A2D7F" w:rsidR="0098385D" w:rsidRDefault="00E75D5F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D61838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D61838">
              <w:rPr>
                <w:rFonts w:ascii="Verdana" w:hAnsi="Verdana"/>
                <w:sz w:val="20"/>
                <w:szCs w:val="20"/>
              </w:rPr>
              <w:t>1</w:t>
            </w:r>
            <w:r w:rsidR="0098385D">
              <w:rPr>
                <w:rFonts w:ascii="Verdana" w:hAnsi="Verdana"/>
                <w:sz w:val="20"/>
                <w:szCs w:val="20"/>
              </w:rPr>
              <w:t xml:space="preserve"> millones por cuenta del proyecto Corporación Andina </w:t>
            </w:r>
            <w:r w:rsidR="00C62003">
              <w:rPr>
                <w:rFonts w:ascii="Verdana" w:hAnsi="Verdana"/>
                <w:sz w:val="20"/>
                <w:szCs w:val="20"/>
              </w:rPr>
              <w:t>de</w:t>
            </w:r>
            <w:r w:rsidR="0098385D">
              <w:rPr>
                <w:rFonts w:ascii="Verdana" w:hAnsi="Verdana"/>
                <w:sz w:val="20"/>
                <w:szCs w:val="20"/>
              </w:rPr>
              <w:t xml:space="preserve"> Fomento.</w:t>
            </w:r>
          </w:p>
          <w:p w14:paraId="4226A621" w14:textId="1D3034BF" w:rsidR="00A2238C" w:rsidRDefault="006234DD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628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 xml:space="preserve"> millones por cuenta del proyecto </w:t>
            </w:r>
            <w:r>
              <w:rPr>
                <w:rFonts w:ascii="Verdana" w:hAnsi="Verdana"/>
                <w:sz w:val="20"/>
                <w:szCs w:val="20"/>
              </w:rPr>
              <w:t>de Gobierno de Corea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.</w:t>
            </w:r>
          </w:p>
          <w:p w14:paraId="5D644E77" w14:textId="572C4966" w:rsidR="00E75D5F" w:rsidRDefault="00D61838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  <w:r w:rsidR="004536BA">
              <w:rPr>
                <w:rFonts w:ascii="Verdana" w:hAnsi="Verdana"/>
                <w:sz w:val="20"/>
                <w:szCs w:val="20"/>
              </w:rPr>
              <w:t>744</w:t>
            </w:r>
            <w:r w:rsidR="00E75D5F">
              <w:rPr>
                <w:rFonts w:ascii="Verdana" w:hAnsi="Verdana"/>
                <w:sz w:val="20"/>
                <w:szCs w:val="20"/>
              </w:rPr>
              <w:t>,</w:t>
            </w:r>
            <w:r w:rsidR="004536BA">
              <w:rPr>
                <w:rFonts w:ascii="Verdana" w:hAnsi="Verdana"/>
                <w:sz w:val="20"/>
                <w:szCs w:val="20"/>
              </w:rPr>
              <w:t>8</w:t>
            </w:r>
            <w:r w:rsidR="00E75D5F">
              <w:rPr>
                <w:rFonts w:ascii="Verdana" w:hAnsi="Verdana"/>
                <w:sz w:val="20"/>
                <w:szCs w:val="20"/>
              </w:rPr>
              <w:t xml:space="preserve"> millones por cuenta del proyecto de BCIE.</w:t>
            </w:r>
          </w:p>
          <w:p w14:paraId="4702B557" w14:textId="5494B9E8" w:rsidR="004536BA" w:rsidRDefault="004536BA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1.149,2 millones por cuenta del proyecto CAF 2020</w:t>
            </w:r>
          </w:p>
          <w:p w14:paraId="68ACEBEB" w14:textId="45D10699" w:rsidR="004536BA" w:rsidRPr="0098385D" w:rsidRDefault="004536BA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126,1 millones por cuenta del proyecto Gobierno de Francia.</w:t>
            </w:r>
          </w:p>
          <w:p w14:paraId="5FC021EB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68E21DB8" w14:textId="5CFB15AA" w:rsidR="00D05B51" w:rsidRDefault="00EA3C52" w:rsidP="00F57B7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 F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ortalecimiento de las capacidades tecnológicas de la información en </w:t>
            </w:r>
            <w:r>
              <w:rPr>
                <w:rFonts w:ascii="Verdana" w:hAnsi="Verdana"/>
                <w:sz w:val="20"/>
                <w:szCs w:val="20"/>
              </w:rPr>
              <w:t xml:space="preserve">APC-COLOMBIA, 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con </w:t>
            </w:r>
            <w:r w:rsidR="001E22C0" w:rsidRPr="00EA3C52">
              <w:rPr>
                <w:rFonts w:ascii="Verdana" w:hAnsi="Verdana"/>
                <w:sz w:val="20"/>
                <w:szCs w:val="20"/>
              </w:rPr>
              <w:t xml:space="preserve">el </w:t>
            </w:r>
            <w:r w:rsidR="004536BA">
              <w:rPr>
                <w:rFonts w:ascii="Verdana" w:hAnsi="Verdana"/>
                <w:sz w:val="20"/>
                <w:szCs w:val="20"/>
              </w:rPr>
              <w:t>0,94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BD534A">
              <w:rPr>
                <w:rFonts w:ascii="Verdana" w:hAnsi="Verdana"/>
                <w:sz w:val="20"/>
                <w:szCs w:val="20"/>
              </w:rPr>
              <w:t>142</w:t>
            </w:r>
            <w:r w:rsidR="00E75D5F">
              <w:rPr>
                <w:rFonts w:ascii="Verdana" w:hAnsi="Verdana"/>
                <w:sz w:val="20"/>
                <w:szCs w:val="20"/>
              </w:rPr>
              <w:t>,</w:t>
            </w:r>
            <w:r w:rsidR="00BD534A">
              <w:rPr>
                <w:rFonts w:ascii="Verdana" w:hAnsi="Verdana"/>
                <w:sz w:val="20"/>
                <w:szCs w:val="20"/>
              </w:rPr>
              <w:t>4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millones </w:t>
            </w:r>
            <w:r w:rsidR="00F57B74">
              <w:rPr>
                <w:rFonts w:ascii="Verdana" w:hAnsi="Verdana"/>
                <w:sz w:val="20"/>
                <w:szCs w:val="20"/>
              </w:rPr>
              <w:t xml:space="preserve">para </w:t>
            </w:r>
            <w:r w:rsidR="00FB5CFF">
              <w:rPr>
                <w:rFonts w:ascii="Verdana" w:hAnsi="Verdana"/>
                <w:sz w:val="20"/>
                <w:szCs w:val="20"/>
              </w:rPr>
              <w:t xml:space="preserve">el 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>servicio</w:t>
            </w:r>
            <w:r w:rsidR="00FB5C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34DD">
              <w:rPr>
                <w:rFonts w:ascii="Verdana" w:hAnsi="Verdana"/>
                <w:sz w:val="20"/>
                <w:szCs w:val="20"/>
              </w:rPr>
              <w:t xml:space="preserve">de </w:t>
            </w:r>
            <w:r w:rsidR="00BD534A">
              <w:rPr>
                <w:rFonts w:ascii="Verdana" w:hAnsi="Verdana"/>
                <w:sz w:val="20"/>
                <w:szCs w:val="20"/>
              </w:rPr>
              <w:t>siete</w:t>
            </w:r>
            <w:r w:rsidR="0066579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9136D">
              <w:rPr>
                <w:rFonts w:ascii="Verdana" w:hAnsi="Verdana"/>
                <w:sz w:val="20"/>
                <w:szCs w:val="20"/>
              </w:rPr>
              <w:t>profesional</w:t>
            </w:r>
            <w:r w:rsidR="00E75D5F">
              <w:rPr>
                <w:rFonts w:ascii="Verdana" w:hAnsi="Verdana"/>
                <w:sz w:val="20"/>
                <w:szCs w:val="20"/>
              </w:rPr>
              <w:t>es</w:t>
            </w:r>
            <w:r w:rsidR="00E9136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9136D" w:rsidRPr="00EA3C52">
              <w:rPr>
                <w:rFonts w:ascii="Verdana" w:hAnsi="Verdana"/>
                <w:sz w:val="20"/>
                <w:szCs w:val="20"/>
              </w:rPr>
              <w:t>para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la gestión del proye</w:t>
            </w:r>
            <w:r>
              <w:rPr>
                <w:rFonts w:ascii="Verdana" w:hAnsi="Verdana"/>
                <w:sz w:val="20"/>
                <w:szCs w:val="20"/>
              </w:rPr>
              <w:t>cto.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59B0485" w14:textId="77777777" w:rsidR="00C62003" w:rsidRDefault="00C62003" w:rsidP="00F57B7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70932A3" w14:textId="35E62659" w:rsidR="00F57B74" w:rsidRPr="003C58A7" w:rsidRDefault="00C62003" w:rsidP="004536B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>
              <w:t xml:space="preserve"> 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Consolidación Del Sistema </w:t>
            </w:r>
            <w:r w:rsidRPr="00C62003">
              <w:rPr>
                <w:rFonts w:ascii="Verdana" w:hAnsi="Verdana"/>
                <w:sz w:val="20"/>
                <w:szCs w:val="20"/>
              </w:rPr>
              <w:t xml:space="preserve">Nacional De Cooperación Internacional A </w:t>
            </w:r>
            <w:r w:rsidR="003B4098" w:rsidRPr="00C62003">
              <w:rPr>
                <w:rFonts w:ascii="Verdana" w:hAnsi="Verdana"/>
                <w:sz w:val="20"/>
                <w:szCs w:val="20"/>
              </w:rPr>
              <w:t>Nivel Nacional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, con el </w:t>
            </w:r>
            <w:r w:rsidR="00BD534A">
              <w:rPr>
                <w:rFonts w:ascii="Verdana" w:hAnsi="Verdana"/>
                <w:sz w:val="20"/>
                <w:szCs w:val="20"/>
              </w:rPr>
              <w:t>3,</w:t>
            </w:r>
            <w:r w:rsidR="004536BA">
              <w:rPr>
                <w:rFonts w:ascii="Verdana" w:hAnsi="Verdana"/>
                <w:sz w:val="20"/>
                <w:szCs w:val="20"/>
              </w:rPr>
              <w:t>08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E75D5F">
              <w:rPr>
                <w:rFonts w:ascii="Verdana" w:hAnsi="Verdana"/>
                <w:sz w:val="20"/>
                <w:szCs w:val="20"/>
              </w:rPr>
              <w:t>464,7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millones para el servicio de </w:t>
            </w:r>
            <w:r w:rsidR="00BD534A">
              <w:rPr>
                <w:rFonts w:ascii="Verdana" w:hAnsi="Verdana"/>
                <w:sz w:val="20"/>
                <w:szCs w:val="20"/>
              </w:rPr>
              <w:t>diez profesionales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para la gestión del proyecto y </w:t>
            </w:r>
            <w:r w:rsidR="00823DC7">
              <w:rPr>
                <w:rFonts w:ascii="Verdana" w:hAnsi="Verdana"/>
                <w:sz w:val="20"/>
                <w:szCs w:val="20"/>
              </w:rPr>
              <w:t>se suscribió el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contrato con </w:t>
            </w:r>
            <w:r w:rsidR="003B4098" w:rsidRPr="003B4098">
              <w:rPr>
                <w:rFonts w:ascii="Verdana" w:hAnsi="Verdana"/>
                <w:sz w:val="20"/>
                <w:szCs w:val="20"/>
              </w:rPr>
              <w:t>Viaja Por El Mundo Web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para el desarrollo de las actividades </w:t>
            </w:r>
            <w:r w:rsidR="00823DC7">
              <w:rPr>
                <w:rFonts w:ascii="Verdana" w:hAnsi="Verdana"/>
                <w:sz w:val="20"/>
                <w:szCs w:val="20"/>
              </w:rPr>
              <w:t>previstas</w:t>
            </w:r>
            <w:r w:rsidR="003B409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88CA0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lastRenderedPageBreak/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Ejecución Obligaciones / Apropiación Vigente.</w:t>
            </w:r>
          </w:p>
          <w:p w14:paraId="0267C82C" w14:textId="12E2398D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23A6F">
              <w:rPr>
                <w:rFonts w:ascii="Verdana" w:hAnsi="Verdana"/>
                <w:sz w:val="20"/>
                <w:szCs w:val="20"/>
              </w:rPr>
              <w:t>31.678,3</w:t>
            </w:r>
            <w:r w:rsidR="00E70862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681998">
              <w:rPr>
                <w:rFonts w:ascii="Verdana" w:hAnsi="Verdana"/>
                <w:sz w:val="20"/>
                <w:szCs w:val="20"/>
              </w:rPr>
              <w:t>62.956,0</w:t>
            </w:r>
            <w:r w:rsidR="00E70862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F23A6F">
              <w:rPr>
                <w:rFonts w:ascii="Verdana" w:hAnsi="Verdana"/>
                <w:sz w:val="20"/>
                <w:szCs w:val="20"/>
              </w:rPr>
              <w:t>50,32</w:t>
            </w:r>
            <w:r w:rsidRPr="009B7746">
              <w:rPr>
                <w:rFonts w:ascii="Verdana" w:hAnsi="Verdana"/>
                <w:sz w:val="20"/>
                <w:szCs w:val="20"/>
              </w:rPr>
              <w:t>%.</w:t>
            </w:r>
          </w:p>
          <w:p w14:paraId="6276DEA1" w14:textId="77777777" w:rsidR="00A67EEC" w:rsidRPr="00EE79B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547AB7F" w14:textId="49F3FF05" w:rsidR="00CB005B" w:rsidRDefault="00A67EEC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91634">
              <w:rPr>
                <w:rFonts w:ascii="Verdana" w:hAnsi="Verdana"/>
                <w:sz w:val="20"/>
                <w:szCs w:val="20"/>
              </w:rPr>
              <w:t xml:space="preserve">Con corte al </w:t>
            </w:r>
            <w:r w:rsidR="00F23A6F">
              <w:rPr>
                <w:rFonts w:ascii="Verdana" w:hAnsi="Verdana"/>
                <w:sz w:val="20"/>
                <w:szCs w:val="20"/>
              </w:rPr>
              <w:t>30 de noviembre</w:t>
            </w:r>
            <w:r w:rsidR="00D03009">
              <w:rPr>
                <w:rFonts w:ascii="Verdana" w:hAnsi="Verdana"/>
                <w:sz w:val="20"/>
                <w:szCs w:val="20"/>
              </w:rPr>
              <w:t xml:space="preserve"> de</w:t>
            </w:r>
            <w:r w:rsidR="00EE79B7" w:rsidRPr="00091634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681998" w:rsidRPr="00091634">
              <w:rPr>
                <w:rFonts w:ascii="Verdana" w:hAnsi="Verdana"/>
                <w:sz w:val="20"/>
                <w:szCs w:val="20"/>
              </w:rPr>
              <w:t>20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, la ejecución presupuestal de la entidad en materia de obligaciones fue del </w:t>
            </w:r>
            <w:r w:rsidR="00F23A6F">
              <w:rPr>
                <w:rFonts w:ascii="Verdana" w:hAnsi="Verdana"/>
                <w:sz w:val="20"/>
                <w:szCs w:val="20"/>
              </w:rPr>
              <w:t>50,32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 equivalente a </w:t>
            </w:r>
            <w:r w:rsidR="00F23A6F">
              <w:rPr>
                <w:rFonts w:ascii="Verdana" w:hAnsi="Verdana"/>
                <w:sz w:val="20"/>
                <w:szCs w:val="20"/>
              </w:rPr>
              <w:t xml:space="preserve">31.678,3 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millones, frente a una meta del </w:t>
            </w:r>
            <w:r w:rsidR="00F23A6F">
              <w:rPr>
                <w:rFonts w:ascii="Verdana" w:hAnsi="Verdana"/>
                <w:sz w:val="20"/>
                <w:szCs w:val="20"/>
              </w:rPr>
              <w:t>39,4</w:t>
            </w:r>
            <w:r w:rsidR="00D03009">
              <w:rPr>
                <w:rFonts w:ascii="Verdana" w:hAnsi="Verdana"/>
                <w:sz w:val="20"/>
                <w:szCs w:val="20"/>
              </w:rPr>
              <w:t>7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%, 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con un </w:t>
            </w:r>
            <w:r w:rsidR="00084411">
              <w:rPr>
                <w:rFonts w:ascii="Verdana" w:hAnsi="Verdana"/>
                <w:sz w:val="20"/>
                <w:szCs w:val="20"/>
              </w:rPr>
              <w:t>superávit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F23A6F">
              <w:rPr>
                <w:rFonts w:ascii="Verdana" w:hAnsi="Verdana"/>
                <w:sz w:val="20"/>
                <w:szCs w:val="20"/>
              </w:rPr>
              <w:t>6.829</w:t>
            </w:r>
            <w:r w:rsidR="001159B7" w:rsidRPr="00091634">
              <w:rPr>
                <w:rFonts w:ascii="Verdana" w:hAnsi="Verdana"/>
                <w:sz w:val="20"/>
                <w:szCs w:val="20"/>
              </w:rPr>
              <w:t>,</w:t>
            </w:r>
            <w:r w:rsidR="00F23A6F">
              <w:rPr>
                <w:rFonts w:ascii="Verdana" w:hAnsi="Verdana"/>
                <w:sz w:val="20"/>
                <w:szCs w:val="20"/>
              </w:rPr>
              <w:t>0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millones, el cual se explica de la siguiente manera:</w:t>
            </w:r>
            <w:r w:rsidR="00517D33"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4AD92DF" w14:textId="77777777" w:rsidR="004B35F0" w:rsidRDefault="004B35F0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98AEBEC" w14:textId="41FB1055" w:rsidR="00CB005B" w:rsidRDefault="00A67EEC" w:rsidP="000437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16EE">
              <w:rPr>
                <w:rFonts w:ascii="Verdana" w:hAnsi="Verdana"/>
                <w:b/>
                <w:sz w:val="20"/>
                <w:szCs w:val="20"/>
              </w:rPr>
              <w:t>A) Gastos de funcionamiento:</w:t>
            </w:r>
          </w:p>
          <w:p w14:paraId="57AE5F99" w14:textId="77777777" w:rsidR="004B35F0" w:rsidRDefault="004B35F0" w:rsidP="000437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1898CD5" w14:textId="24D54A18" w:rsidR="00CB005B" w:rsidRDefault="00A67EEC" w:rsidP="0004373C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A516E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1) 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>Superávit</w:t>
            </w:r>
            <w:r w:rsidR="001159B7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 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por </w:t>
            </w:r>
            <w:r w:rsidR="00F23A6F">
              <w:rPr>
                <w:rFonts w:ascii="Verdana" w:hAnsi="Verdana"/>
                <w:iCs/>
                <w:sz w:val="20"/>
                <w:szCs w:val="20"/>
                <w:lang w:val="es-ES"/>
              </w:rPr>
              <w:t>1.046,4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millones, debido a que se ocuparon algunos cargos que estaban disponibles en la planta de personal de la entidad.</w:t>
            </w:r>
          </w:p>
          <w:p w14:paraId="34C3BEB4" w14:textId="47B35635" w:rsidR="00EE3850" w:rsidRDefault="007B096C" w:rsidP="0004373C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>
              <w:rPr>
                <w:rFonts w:ascii="Verdana" w:hAnsi="Verdana" w:cs="Arial"/>
                <w:sz w:val="20"/>
                <w:szCs w:val="20"/>
                <w:lang w:val="es-CO"/>
              </w:rPr>
              <w:t>2)S</w:t>
            </w:r>
            <w:r w:rsidR="00F23A6F">
              <w:rPr>
                <w:rFonts w:ascii="Verdana" w:hAnsi="Verdana" w:cs="Arial"/>
                <w:sz w:val="20"/>
                <w:szCs w:val="20"/>
                <w:lang w:val="es-CO"/>
              </w:rPr>
              <w:t>uperávit</w:t>
            </w:r>
            <w:r w:rsidR="00681998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 en la ejecución de adquisición de bienes y servicios por </w:t>
            </w:r>
            <w:r w:rsidR="00F23A6F">
              <w:rPr>
                <w:rFonts w:ascii="Verdana" w:hAnsi="Verdana" w:cs="Arial"/>
                <w:sz w:val="20"/>
                <w:szCs w:val="20"/>
                <w:lang w:val="es-CO"/>
              </w:rPr>
              <w:t>12</w:t>
            </w:r>
            <w:r w:rsidR="005719BB">
              <w:rPr>
                <w:rFonts w:ascii="Verdana" w:hAnsi="Verdana" w:cs="Arial"/>
                <w:sz w:val="20"/>
                <w:szCs w:val="20"/>
                <w:lang w:val="es-CO"/>
              </w:rPr>
              <w:t>7</w:t>
            </w:r>
            <w:r w:rsidR="004B35F0">
              <w:rPr>
                <w:rFonts w:ascii="Verdana" w:hAnsi="Verdana" w:cs="Arial"/>
                <w:sz w:val="20"/>
                <w:szCs w:val="20"/>
                <w:lang w:val="es-CO"/>
              </w:rPr>
              <w:t>,</w:t>
            </w:r>
            <w:r w:rsidR="005719BB">
              <w:rPr>
                <w:rFonts w:ascii="Verdana" w:hAnsi="Verdana" w:cs="Arial"/>
                <w:sz w:val="20"/>
                <w:szCs w:val="20"/>
                <w:lang w:val="es-CO"/>
              </w:rPr>
              <w:t>9</w:t>
            </w:r>
            <w:r w:rsidR="00681998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millones, </w:t>
            </w:r>
            <w:r w:rsidR="00B65818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debido </w:t>
            </w:r>
            <w:r w:rsidR="00EE3850" w:rsidRPr="000135D9">
              <w:rPr>
                <w:rFonts w:ascii="Verdana" w:hAnsi="Verdana" w:cs="Arial"/>
                <w:sz w:val="20"/>
                <w:szCs w:val="20"/>
                <w:lang w:val="es-CO"/>
              </w:rPr>
              <w:t>que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 se pagaron las pólizas de seguros adquiridas para la entidad.</w:t>
            </w:r>
          </w:p>
          <w:p w14:paraId="25F18782" w14:textId="7AA6A6D9" w:rsidR="00CB005B" w:rsidRDefault="00681998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3) 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>E</w:t>
            </w:r>
            <w:r w:rsidRPr="00C55089">
              <w:rPr>
                <w:rFonts w:ascii="Verdana" w:hAnsi="Verdana" w:cs="Arial"/>
                <w:sz w:val="20"/>
                <w:szCs w:val="20"/>
                <w:lang w:val="es-CO"/>
              </w:rPr>
              <w:t>n la ejecución de transferencia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s </w:t>
            </w:r>
            <w:r w:rsidRPr="00C55089">
              <w:rPr>
                <w:rFonts w:ascii="Verdana" w:hAnsi="Verdana" w:cs="Arial"/>
                <w:sz w:val="20"/>
                <w:szCs w:val="20"/>
                <w:lang w:val="es-CO"/>
              </w:rPr>
              <w:t>corrientes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 se presentó un </w:t>
            </w:r>
            <w:r w:rsidR="008E21DE">
              <w:rPr>
                <w:rFonts w:ascii="Verdana" w:hAnsi="Verdana" w:cs="Arial"/>
                <w:sz w:val="20"/>
                <w:szCs w:val="20"/>
                <w:lang w:val="es-CO"/>
              </w:rPr>
              <w:t>superávit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 por </w:t>
            </w:r>
            <w:r w:rsidR="007B096C">
              <w:rPr>
                <w:rFonts w:ascii="Verdana" w:hAnsi="Verdana" w:cs="Arial"/>
                <w:sz w:val="20"/>
                <w:szCs w:val="20"/>
                <w:lang w:val="es-CO"/>
              </w:rPr>
              <w:t>2.195</w:t>
            </w:r>
            <w:r w:rsidR="00E87A2D">
              <w:rPr>
                <w:rFonts w:ascii="Verdana" w:hAnsi="Verdana" w:cs="Arial"/>
                <w:sz w:val="20"/>
                <w:szCs w:val="20"/>
                <w:lang w:val="es-CO"/>
              </w:rPr>
              <w:t>,</w:t>
            </w:r>
            <w:r w:rsidR="007B096C">
              <w:rPr>
                <w:rFonts w:ascii="Verdana" w:hAnsi="Verdana" w:cs="Arial"/>
                <w:sz w:val="20"/>
                <w:szCs w:val="20"/>
                <w:lang w:val="es-CO"/>
              </w:rPr>
              <w:t>3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 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discriminado así: </w:t>
            </w:r>
            <w:r w:rsidR="0081521A">
              <w:rPr>
                <w:rFonts w:ascii="Verdana" w:hAnsi="Verdana" w:cs="Arial"/>
                <w:sz w:val="20"/>
                <w:szCs w:val="20"/>
              </w:rPr>
              <w:t>i) superávit</w:t>
            </w:r>
            <w:r w:rsidR="008E21DE" w:rsidRPr="0049603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7B096C">
              <w:rPr>
                <w:rFonts w:ascii="Verdana" w:hAnsi="Verdana" w:cs="Arial"/>
                <w:sz w:val="20"/>
                <w:szCs w:val="20"/>
              </w:rPr>
              <w:t>2.242</w:t>
            </w:r>
            <w:r w:rsidR="00E87A2D">
              <w:rPr>
                <w:rFonts w:ascii="Verdana" w:hAnsi="Verdana" w:cs="Arial"/>
                <w:sz w:val="20"/>
                <w:szCs w:val="20"/>
              </w:rPr>
              <w:t>,0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 millones</w:t>
            </w:r>
            <w:r w:rsidR="008E21DE" w:rsidRPr="003C7488">
              <w:rPr>
                <w:rFonts w:ascii="Verdana" w:hAnsi="Verdana" w:cs="Arial"/>
                <w:sz w:val="20"/>
                <w:szCs w:val="20"/>
              </w:rPr>
              <w:t xml:space="preserve"> de recursos provenientes del FOCAI debido a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 que</w:t>
            </w:r>
            <w:r w:rsidR="008E21DE" w:rsidRPr="003C74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E21DE">
              <w:rPr>
                <w:rFonts w:ascii="Verdana" w:hAnsi="Verdana" w:cs="Arial"/>
                <w:sz w:val="20"/>
                <w:szCs w:val="20"/>
              </w:rPr>
              <w:t>se</w:t>
            </w:r>
            <w:r w:rsidR="00E87A2D">
              <w:rPr>
                <w:rFonts w:ascii="Verdana" w:hAnsi="Verdana" w:cs="Arial"/>
                <w:sz w:val="20"/>
                <w:szCs w:val="20"/>
              </w:rPr>
              <w:t xml:space="preserve"> han venido realizando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 el pago </w:t>
            </w:r>
            <w:r w:rsidR="0088042F">
              <w:rPr>
                <w:rFonts w:ascii="Verdana" w:hAnsi="Verdana" w:cs="Arial"/>
                <w:sz w:val="20"/>
                <w:szCs w:val="20"/>
              </w:rPr>
              <w:t xml:space="preserve">de </w:t>
            </w:r>
            <w:r w:rsidR="0081521A">
              <w:rPr>
                <w:rFonts w:ascii="Verdana" w:hAnsi="Verdana" w:cs="Arial"/>
                <w:sz w:val="20"/>
                <w:szCs w:val="20"/>
              </w:rPr>
              <w:t>varias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E3850">
              <w:rPr>
                <w:rFonts w:ascii="Verdana" w:hAnsi="Verdana" w:cs="Arial"/>
                <w:sz w:val="20"/>
                <w:szCs w:val="20"/>
              </w:rPr>
              <w:t>asistencias humanitarias</w:t>
            </w:r>
            <w:r w:rsidR="00E87A2D">
              <w:rPr>
                <w:rFonts w:ascii="Verdana" w:hAnsi="Verdana" w:cs="Arial"/>
                <w:sz w:val="20"/>
                <w:szCs w:val="20"/>
              </w:rPr>
              <w:t xml:space="preserve"> y aportes voluntarios. </w:t>
            </w:r>
            <w:r>
              <w:rPr>
                <w:rFonts w:ascii="Verdana" w:hAnsi="Verdana" w:cs="Arial"/>
                <w:sz w:val="20"/>
                <w:szCs w:val="20"/>
              </w:rPr>
              <w:t>ii</w:t>
            </w:r>
            <w:r w:rsidRPr="0049603A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se presentó </w:t>
            </w:r>
            <w:r w:rsidR="00E95534">
              <w:rPr>
                <w:rFonts w:ascii="Verdana" w:hAnsi="Verdana" w:cs="Arial"/>
                <w:sz w:val="20"/>
                <w:szCs w:val="20"/>
              </w:rPr>
              <w:t>déficit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7B096C">
              <w:rPr>
                <w:rFonts w:ascii="Verdana" w:hAnsi="Verdana" w:cs="Arial"/>
                <w:sz w:val="20"/>
                <w:szCs w:val="20"/>
              </w:rPr>
              <w:t>46</w:t>
            </w:r>
            <w:r w:rsidR="00E87A2D">
              <w:rPr>
                <w:rFonts w:ascii="Verdana" w:hAnsi="Verdana" w:cs="Arial"/>
                <w:sz w:val="20"/>
                <w:szCs w:val="20"/>
              </w:rPr>
              <w:t>,</w:t>
            </w:r>
            <w:r w:rsidR="007B096C">
              <w:rPr>
                <w:rFonts w:ascii="Verdana" w:hAnsi="Verdana" w:cs="Arial"/>
                <w:sz w:val="20"/>
                <w:szCs w:val="20"/>
              </w:rPr>
              <w:t>7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 millones del rubro de incapacidades y licencias de maternidad, </w:t>
            </w:r>
            <w:r w:rsidR="00A141A3">
              <w:rPr>
                <w:rFonts w:ascii="Verdana" w:hAnsi="Verdana" w:cs="Arial"/>
                <w:sz w:val="20"/>
                <w:szCs w:val="20"/>
              </w:rPr>
              <w:t xml:space="preserve">debido que </w:t>
            </w:r>
            <w:r w:rsidR="0081521A">
              <w:rPr>
                <w:rFonts w:ascii="Verdana" w:hAnsi="Verdana" w:cs="Arial"/>
                <w:sz w:val="20"/>
                <w:szCs w:val="20"/>
              </w:rPr>
              <w:t>este rubro es variable según las incapacidades y licencias que radican el talento humano.</w:t>
            </w:r>
          </w:p>
          <w:p w14:paraId="7300152B" w14:textId="3CB6C0A8" w:rsidR="00B12C3F" w:rsidRDefault="0081521A" w:rsidP="00A67EEC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750DC" w:rsidRPr="00182BFD">
              <w:rPr>
                <w:rFonts w:ascii="Verdana" w:hAnsi="Verdana"/>
                <w:b/>
                <w:sz w:val="20"/>
                <w:szCs w:val="20"/>
              </w:rPr>
              <w:t>B) Gastos de inversión:</w:t>
            </w:r>
            <w:r w:rsidR="008E21D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126D2">
              <w:rPr>
                <w:rFonts w:ascii="Verdana" w:hAnsi="Verdana" w:cs="Arial"/>
                <w:sz w:val="20"/>
                <w:szCs w:val="20"/>
                <w:lang w:val="es-CO"/>
              </w:rPr>
              <w:t xml:space="preserve">Superávit </w:t>
            </w:r>
            <w:r w:rsidR="0004373C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de </w:t>
            </w:r>
            <w:r w:rsidR="00F61580">
              <w:rPr>
                <w:rFonts w:ascii="Verdana" w:hAnsi="Verdana" w:cs="Arial"/>
                <w:sz w:val="20"/>
                <w:szCs w:val="20"/>
                <w:lang w:val="es-CO"/>
              </w:rPr>
              <w:t>3.348</w:t>
            </w:r>
            <w:r w:rsidR="008126D2">
              <w:rPr>
                <w:rFonts w:ascii="Verdana" w:hAnsi="Verdana" w:cs="Arial"/>
                <w:sz w:val="20"/>
                <w:szCs w:val="20"/>
                <w:lang w:val="es-CO"/>
              </w:rPr>
              <w:t>,</w:t>
            </w:r>
            <w:r w:rsidR="00F61580">
              <w:rPr>
                <w:rFonts w:ascii="Verdana" w:hAnsi="Verdana" w:cs="Arial"/>
                <w:sz w:val="20"/>
                <w:szCs w:val="20"/>
                <w:lang w:val="es-CO"/>
              </w:rPr>
              <w:t>7</w:t>
            </w:r>
            <w:r w:rsidR="0004373C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</w:t>
            </w:r>
            <w:r w:rsidR="00052AB3">
              <w:rPr>
                <w:rFonts w:ascii="Verdana" w:hAnsi="Verdana" w:cs="Arial"/>
                <w:sz w:val="20"/>
                <w:szCs w:val="20"/>
                <w:lang w:val="es-CO"/>
              </w:rPr>
              <w:t xml:space="preserve"> debido </w:t>
            </w:r>
            <w:r w:rsidR="00B12C3F">
              <w:rPr>
                <w:rFonts w:ascii="Verdana" w:hAnsi="Verdana" w:cs="Arial"/>
                <w:sz w:val="20"/>
                <w:szCs w:val="20"/>
                <w:lang w:val="es-CO"/>
              </w:rPr>
              <w:t xml:space="preserve">al pago de varias facturas que se tenían previstas para </w:t>
            </w:r>
            <w:r w:rsidR="00E87A2D">
              <w:rPr>
                <w:rFonts w:ascii="Verdana" w:hAnsi="Verdana" w:cs="Arial"/>
                <w:sz w:val="20"/>
                <w:szCs w:val="20"/>
                <w:lang w:val="es-CO"/>
              </w:rPr>
              <w:t xml:space="preserve">meses anteriores se han pagado en este </w:t>
            </w:r>
            <w:r w:rsidR="00F61580">
              <w:rPr>
                <w:rFonts w:ascii="Verdana" w:hAnsi="Verdana" w:cs="Arial"/>
                <w:sz w:val="20"/>
                <w:szCs w:val="20"/>
                <w:lang w:val="es-CO"/>
              </w:rPr>
              <w:t>mes.</w:t>
            </w:r>
          </w:p>
          <w:p w14:paraId="4B4C5542" w14:textId="07A228B3" w:rsidR="00E279ED" w:rsidRDefault="00052AB3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 </w:t>
            </w:r>
          </w:p>
          <w:p w14:paraId="4A6F9885" w14:textId="3E5C5899" w:rsidR="0004373C" w:rsidRPr="007C68D7" w:rsidRDefault="0004373C" w:rsidP="0004373C">
            <w:pPr>
              <w:spacing w:after="160" w:line="259" w:lineRule="auto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A13924">
              <w:rPr>
                <w:rFonts w:ascii="Verdana" w:hAnsi="Verdana" w:cs="Arial"/>
                <w:sz w:val="20"/>
                <w:szCs w:val="20"/>
                <w:lang w:val="es-CO"/>
              </w:rPr>
              <w:t xml:space="preserve">El </w:t>
            </w:r>
            <w:r w:rsidR="002A2023" w:rsidRPr="00A13924">
              <w:rPr>
                <w:rFonts w:ascii="Verdana" w:hAnsi="Verdana" w:cs="Arial"/>
                <w:sz w:val="20"/>
                <w:szCs w:val="20"/>
                <w:lang w:val="es-CO"/>
              </w:rPr>
              <w:t>72,69</w:t>
            </w:r>
            <w:r w:rsidRPr="00A13924">
              <w:rPr>
                <w:rFonts w:ascii="Verdana" w:hAnsi="Verdana" w:cs="Arial"/>
                <w:sz w:val="20"/>
                <w:szCs w:val="20"/>
                <w:lang w:val="es-CO"/>
              </w:rPr>
              <w:t xml:space="preserve">% de la ejecución corresponde a los gastos de funcionamiento y el </w:t>
            </w:r>
            <w:r w:rsidR="002A2023" w:rsidRPr="00A13924">
              <w:rPr>
                <w:rFonts w:ascii="Verdana" w:hAnsi="Verdana" w:cs="Arial"/>
                <w:sz w:val="20"/>
                <w:szCs w:val="20"/>
                <w:lang w:val="es-CO"/>
              </w:rPr>
              <w:t>27,31</w:t>
            </w:r>
            <w:r w:rsidRPr="00A13924">
              <w:rPr>
                <w:rFonts w:ascii="Verdana" w:hAnsi="Verdana" w:cs="Arial"/>
                <w:sz w:val="20"/>
                <w:szCs w:val="20"/>
                <w:lang w:val="es-CO"/>
              </w:rPr>
              <w:t>% a los gastos de inversión.</w:t>
            </w:r>
            <w:bookmarkStart w:id="0" w:name="_GoBack"/>
            <w:bookmarkEnd w:id="0"/>
          </w:p>
          <w:p w14:paraId="363B1476" w14:textId="77777777" w:rsidR="00182BFD" w:rsidRPr="00E279ED" w:rsidRDefault="00182BF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138CCD29" w14:textId="77777777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D6E49">
              <w:rPr>
                <w:rFonts w:ascii="Verdana" w:hAnsi="Verdana" w:cs="Arial"/>
                <w:sz w:val="20"/>
                <w:szCs w:val="20"/>
              </w:rPr>
              <w:t>La ejecución de obligaciones en funcionamiento se distribuyó así:</w:t>
            </w:r>
          </w:p>
          <w:p w14:paraId="1BA74CA7" w14:textId="777777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C346354" w14:textId="2DCC3BB3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1) Gastos de personal con el </w:t>
            </w:r>
            <w:r w:rsidR="002A2023">
              <w:rPr>
                <w:rFonts w:ascii="Verdana" w:hAnsi="Verdana" w:cs="Arial"/>
                <w:sz w:val="20"/>
                <w:szCs w:val="20"/>
              </w:rPr>
              <w:t>37,32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00D3845B" w14:textId="1F9C051C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2) Gastos por adquisición de bienes y servicios con el </w:t>
            </w:r>
            <w:r w:rsidR="004A313B">
              <w:rPr>
                <w:rFonts w:ascii="Verdana" w:hAnsi="Verdana" w:cs="Arial"/>
                <w:sz w:val="20"/>
                <w:szCs w:val="20"/>
              </w:rPr>
              <w:t>12,</w:t>
            </w:r>
            <w:r w:rsidR="002A2023">
              <w:rPr>
                <w:rFonts w:ascii="Verdana" w:hAnsi="Verdana" w:cs="Arial"/>
                <w:sz w:val="20"/>
                <w:szCs w:val="20"/>
              </w:rPr>
              <w:t>25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4D894DD5" w14:textId="1E63AB1C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>
              <w:rPr>
                <w:rFonts w:ascii="Verdana" w:hAnsi="Verdana" w:cs="Arial"/>
                <w:sz w:val="20"/>
                <w:szCs w:val="20"/>
              </w:rPr>
              <w:t xml:space="preserve">Gastos 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de transferencias corrientes representan el </w:t>
            </w:r>
            <w:r w:rsidR="002A2023">
              <w:rPr>
                <w:rFonts w:ascii="Verdana" w:hAnsi="Verdana" w:cs="Arial"/>
                <w:sz w:val="20"/>
                <w:szCs w:val="20"/>
              </w:rPr>
              <w:t>49,61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2A2023">
              <w:rPr>
                <w:rFonts w:ascii="Verdana" w:hAnsi="Verdana" w:cs="Arial"/>
                <w:sz w:val="20"/>
                <w:szCs w:val="20"/>
              </w:rPr>
              <w:t>49,52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="00246760">
              <w:rPr>
                <w:rFonts w:ascii="Verdana" w:hAnsi="Verdana" w:cs="Arial"/>
                <w:sz w:val="20"/>
                <w:szCs w:val="20"/>
              </w:rPr>
              <w:t>,</w:t>
            </w:r>
            <w:r w:rsidR="00AF6CA5">
              <w:rPr>
                <w:rFonts w:ascii="Verdana" w:hAnsi="Verdana" w:cs="Arial"/>
                <w:sz w:val="20"/>
                <w:szCs w:val="20"/>
              </w:rPr>
              <w:t>09</w:t>
            </w:r>
            <w:r w:rsidRPr="00882814">
              <w:rPr>
                <w:rFonts w:ascii="Verdana" w:hAnsi="Verdana" w:cs="Arial"/>
                <w:sz w:val="20"/>
                <w:szCs w:val="20"/>
              </w:rPr>
              <w:t>% a Incapaci</w:t>
            </w:r>
            <w:r>
              <w:rPr>
                <w:rFonts w:ascii="Verdana" w:hAnsi="Verdana" w:cs="Arial"/>
                <w:sz w:val="20"/>
                <w:szCs w:val="20"/>
              </w:rPr>
              <w:t>dades y Licencias de maternidad y paternidad.</w:t>
            </w:r>
          </w:p>
          <w:p w14:paraId="277BB5C1" w14:textId="167219BF" w:rsidR="000023EC" w:rsidRDefault="000023EC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Gastos de </w:t>
            </w:r>
            <w:r w:rsidRPr="0012189C">
              <w:rPr>
                <w:rFonts w:ascii="Verdana" w:hAnsi="Verdana" w:cs="Arial"/>
                <w:sz w:val="20"/>
                <w:szCs w:val="20"/>
              </w:rPr>
              <w:t>tributos, multas, sanciones e intereses de mora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con el 0,</w:t>
            </w:r>
            <w:r w:rsidR="00AF6CA5">
              <w:rPr>
                <w:rFonts w:ascii="Verdana" w:hAnsi="Verdana" w:cs="Arial"/>
                <w:sz w:val="20"/>
                <w:szCs w:val="20"/>
              </w:rPr>
              <w:t>83</w:t>
            </w:r>
            <w:r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09D74D6A" w14:textId="209F743D" w:rsidR="00A67EEC" w:rsidRPr="006D212E" w:rsidRDefault="008E21DE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23C1950E" w14:textId="77777777" w:rsidR="0004373C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>La ejecución de los gastos de inversión estuvo distribuida así:</w:t>
            </w:r>
          </w:p>
          <w:p w14:paraId="548000BE" w14:textId="15E805B0" w:rsidR="00182C5F" w:rsidRDefault="00182C5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12EE65E" w14:textId="659D0365" w:rsidR="007D2E8C" w:rsidRDefault="007D2E8C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1)</w:t>
            </w:r>
            <w:r>
              <w:rPr>
                <w:rFonts w:ascii="Verdana" w:hAnsi="Verdana"/>
                <w:sz w:val="20"/>
                <w:szCs w:val="20"/>
              </w:rPr>
              <w:t xml:space="preserve"> Contrapartidas Nacional con el </w:t>
            </w:r>
            <w:r w:rsidR="00AF6CA5">
              <w:rPr>
                <w:rFonts w:ascii="Verdana" w:hAnsi="Verdana"/>
                <w:sz w:val="20"/>
                <w:szCs w:val="20"/>
              </w:rPr>
              <w:t>20,34</w:t>
            </w:r>
            <w:r>
              <w:rPr>
                <w:rFonts w:ascii="Verdana" w:hAnsi="Verdana"/>
                <w:sz w:val="20"/>
                <w:szCs w:val="20"/>
              </w:rPr>
              <w:t>% de la ejecución</w:t>
            </w:r>
            <w:r w:rsidR="00AF6CA5">
              <w:rPr>
                <w:rFonts w:ascii="Verdana" w:hAnsi="Verdana"/>
                <w:sz w:val="20"/>
                <w:szCs w:val="20"/>
              </w:rPr>
              <w:t xml:space="preserve"> en inversión, equivalente a 1.759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AF6CA5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millones pago de </w:t>
            </w:r>
            <w:r w:rsidR="00AF6CA5">
              <w:rPr>
                <w:rFonts w:ascii="Verdana" w:hAnsi="Verdana"/>
                <w:sz w:val="20"/>
                <w:szCs w:val="20"/>
              </w:rPr>
              <w:t xml:space="preserve">los </w:t>
            </w:r>
            <w:r>
              <w:rPr>
                <w:rFonts w:ascii="Verdana" w:hAnsi="Verdana"/>
                <w:sz w:val="20"/>
                <w:szCs w:val="20"/>
              </w:rPr>
              <w:t>convenios de este proyecto de contrapartidas.</w:t>
            </w:r>
          </w:p>
          <w:p w14:paraId="4B75B454" w14:textId="77777777" w:rsidR="007D2E8C" w:rsidRDefault="007D2E8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DA95DE0" w14:textId="516237BE" w:rsidR="00182C5F" w:rsidRDefault="00182C5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) Administración de Recursos de Cooperación con el </w:t>
            </w:r>
            <w:r w:rsidR="00AF6CA5">
              <w:rPr>
                <w:rFonts w:ascii="Verdana" w:hAnsi="Verdana" w:cs="Arial"/>
                <w:sz w:val="20"/>
                <w:szCs w:val="20"/>
              </w:rPr>
              <w:t>74,24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>%</w:t>
            </w:r>
          </w:p>
          <w:p w14:paraId="758346F1" w14:textId="52CB62B3" w:rsidR="0004373C" w:rsidRPr="007C68D7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 de la ejecución en inversión, equivalente a </w:t>
            </w:r>
            <w:r w:rsidR="00AF6CA5">
              <w:rPr>
                <w:rFonts w:ascii="Verdana" w:hAnsi="Verdana" w:cs="Arial"/>
                <w:sz w:val="20"/>
                <w:szCs w:val="20"/>
              </w:rPr>
              <w:t>6.422</w:t>
            </w:r>
            <w:r w:rsidR="00897854">
              <w:rPr>
                <w:rFonts w:ascii="Verdana" w:hAnsi="Verdana" w:cs="Arial"/>
                <w:sz w:val="20"/>
                <w:szCs w:val="20"/>
              </w:rPr>
              <w:t>,</w:t>
            </w:r>
            <w:r w:rsidR="00AF6CA5">
              <w:rPr>
                <w:rFonts w:ascii="Verdana" w:hAnsi="Verdana" w:cs="Arial"/>
                <w:sz w:val="20"/>
                <w:szCs w:val="20"/>
              </w:rPr>
              <w:t>7</w:t>
            </w:r>
            <w:r w:rsidRPr="007C68D7">
              <w:rPr>
                <w:rFonts w:ascii="Verdana" w:hAnsi="Verdana" w:cs="Arial"/>
                <w:sz w:val="20"/>
                <w:szCs w:val="20"/>
              </w:rPr>
              <w:t xml:space="preserve"> millones, distribuidos así:</w:t>
            </w:r>
          </w:p>
          <w:p w14:paraId="48459352" w14:textId="77777777" w:rsidR="000023EC" w:rsidRDefault="000023EC" w:rsidP="000023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0318FB9" w14:textId="05822E3D" w:rsidR="000023EC" w:rsidRPr="000023EC" w:rsidRDefault="000023EC" w:rsidP="000023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a) </w:t>
            </w:r>
            <w:r w:rsidR="00AF6CA5">
              <w:rPr>
                <w:rFonts w:ascii="Verdana" w:hAnsi="Verdana" w:cs="Arial"/>
                <w:sz w:val="20"/>
                <w:szCs w:val="20"/>
              </w:rPr>
              <w:t>662,2</w:t>
            </w:r>
            <w:r w:rsidRPr="000023EC">
              <w:rPr>
                <w:rFonts w:ascii="Verdana" w:hAnsi="Verdana" w:cs="Arial"/>
                <w:sz w:val="20"/>
                <w:szCs w:val="20"/>
              </w:rPr>
              <w:t xml:space="preserve"> millones, </w:t>
            </w:r>
            <w:r w:rsidR="006C7D70">
              <w:rPr>
                <w:rFonts w:ascii="Verdana" w:hAnsi="Verdana" w:cs="Arial"/>
                <w:sz w:val="20"/>
                <w:szCs w:val="20"/>
              </w:rPr>
              <w:t xml:space="preserve">pagos del </w:t>
            </w:r>
            <w:r w:rsidRPr="000023EC">
              <w:rPr>
                <w:rFonts w:ascii="Verdana" w:hAnsi="Verdana" w:cs="Arial"/>
                <w:sz w:val="20"/>
                <w:szCs w:val="20"/>
              </w:rPr>
              <w:t>proyecto” Estrategia regional de emprendimiento” financiado con recursos donados por la Unión Europea.</w:t>
            </w:r>
          </w:p>
          <w:p w14:paraId="78638B5D" w14:textId="31C7DB3A" w:rsidR="0004373C" w:rsidRDefault="000023E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b)</w:t>
            </w:r>
            <w:r w:rsidR="00580B9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F6CA5">
              <w:rPr>
                <w:rFonts w:ascii="Verdana" w:hAnsi="Verdana" w:cs="Arial"/>
                <w:sz w:val="20"/>
                <w:szCs w:val="20"/>
              </w:rPr>
              <w:t>3.074</w:t>
            </w:r>
            <w:r w:rsidR="00C85BD5">
              <w:rPr>
                <w:rFonts w:ascii="Verdana" w:hAnsi="Verdana" w:cs="Arial"/>
                <w:sz w:val="20"/>
                <w:szCs w:val="20"/>
              </w:rPr>
              <w:t>,</w:t>
            </w:r>
            <w:r w:rsidR="00AF6CA5">
              <w:rPr>
                <w:rFonts w:ascii="Verdana" w:hAnsi="Verdana" w:cs="Arial"/>
                <w:sz w:val="20"/>
                <w:szCs w:val="20"/>
              </w:rPr>
              <w:t>8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 millones, pagos del proyecto de desminado terrestre en el marco del convenio de subvención firmado con la fundación Howard Buffet.</w:t>
            </w:r>
          </w:p>
          <w:p w14:paraId="0FC51260" w14:textId="3455D66F" w:rsidR="00580B9A" w:rsidRDefault="006C7D70" w:rsidP="00580B9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C7D70">
              <w:rPr>
                <w:rFonts w:ascii="Verdana" w:hAnsi="Verdana" w:cs="Arial"/>
                <w:sz w:val="20"/>
                <w:szCs w:val="20"/>
              </w:rPr>
              <w:t>c)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F6CA5">
              <w:rPr>
                <w:rFonts w:ascii="Verdana" w:hAnsi="Verdana" w:cs="Arial"/>
                <w:sz w:val="20"/>
                <w:szCs w:val="20"/>
              </w:rPr>
              <w:t>518</w:t>
            </w:r>
            <w:r w:rsidRPr="006C7D70">
              <w:rPr>
                <w:rFonts w:ascii="Verdana" w:hAnsi="Verdana" w:cs="Arial"/>
                <w:sz w:val="20"/>
                <w:szCs w:val="20"/>
              </w:rPr>
              <w:t>,</w:t>
            </w:r>
            <w:r w:rsidR="00AF6CA5">
              <w:rPr>
                <w:rFonts w:ascii="Verdana" w:hAnsi="Verdana" w:cs="Arial"/>
                <w:sz w:val="20"/>
                <w:szCs w:val="20"/>
              </w:rPr>
              <w:t>2</w:t>
            </w:r>
            <w:r w:rsidRPr="006C7D70">
              <w:rPr>
                <w:rFonts w:ascii="Verdana" w:hAnsi="Verdana" w:cs="Arial"/>
                <w:sz w:val="20"/>
                <w:szCs w:val="20"/>
              </w:rPr>
              <w:t xml:space="preserve"> millones, pagos </w:t>
            </w:r>
            <w:r>
              <w:rPr>
                <w:rFonts w:ascii="Verdana" w:hAnsi="Verdana" w:cs="Arial"/>
                <w:sz w:val="20"/>
                <w:szCs w:val="20"/>
              </w:rPr>
              <w:t xml:space="preserve">del </w:t>
            </w:r>
            <w:r w:rsidRPr="006C7D70">
              <w:rPr>
                <w:rFonts w:ascii="Verdana" w:hAnsi="Verdana"/>
                <w:sz w:val="20"/>
                <w:szCs w:val="20"/>
              </w:rPr>
              <w:t>proyecto Fondo Verde del Clima.</w:t>
            </w:r>
          </w:p>
          <w:p w14:paraId="34CFA902" w14:textId="264801C7" w:rsidR="00580B9A" w:rsidRPr="00580B9A" w:rsidRDefault="00580B9A" w:rsidP="00580B9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d) </w:t>
            </w:r>
            <w:r w:rsidR="00AF6CA5">
              <w:rPr>
                <w:rFonts w:ascii="Verdana" w:hAnsi="Verdana"/>
                <w:sz w:val="20"/>
                <w:szCs w:val="20"/>
              </w:rPr>
              <w:t>71</w:t>
            </w:r>
            <w:r w:rsidRPr="00580B9A">
              <w:rPr>
                <w:rFonts w:ascii="Verdana" w:hAnsi="Verdana"/>
                <w:sz w:val="20"/>
                <w:szCs w:val="20"/>
              </w:rPr>
              <w:t>,</w:t>
            </w:r>
            <w:r w:rsidR="00AF6CA5">
              <w:rPr>
                <w:rFonts w:ascii="Verdana" w:hAnsi="Verdana"/>
                <w:sz w:val="20"/>
                <w:szCs w:val="20"/>
              </w:rPr>
              <w:t>1</w:t>
            </w:r>
            <w:r w:rsidRPr="00580B9A">
              <w:rPr>
                <w:rFonts w:ascii="Verdana" w:hAnsi="Verdana"/>
                <w:sz w:val="20"/>
                <w:szCs w:val="20"/>
              </w:rPr>
              <w:t xml:space="preserve"> millones por cuenta del proyecto Corporación Andina de Fomento.</w:t>
            </w:r>
          </w:p>
          <w:p w14:paraId="528F0325" w14:textId="23C44649" w:rsidR="00580B9A" w:rsidRDefault="00580B9A" w:rsidP="00FA531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A5311">
              <w:rPr>
                <w:rFonts w:ascii="Verdana" w:hAnsi="Verdana" w:cs="Arial"/>
                <w:sz w:val="20"/>
                <w:szCs w:val="20"/>
              </w:rPr>
              <w:t xml:space="preserve">e) </w:t>
            </w:r>
            <w:r w:rsidR="00AF6CA5">
              <w:rPr>
                <w:rFonts w:ascii="Verdana" w:hAnsi="Verdana" w:cs="Arial"/>
                <w:sz w:val="20"/>
                <w:szCs w:val="20"/>
              </w:rPr>
              <w:t>170</w:t>
            </w:r>
            <w:r w:rsidR="00171DFF">
              <w:rPr>
                <w:rFonts w:ascii="Verdana" w:hAnsi="Verdana" w:cs="Arial"/>
                <w:sz w:val="20"/>
                <w:szCs w:val="20"/>
              </w:rPr>
              <w:t>,</w:t>
            </w:r>
            <w:r w:rsidR="00AF6CA5">
              <w:rPr>
                <w:rFonts w:ascii="Verdana" w:hAnsi="Verdana" w:cs="Arial"/>
                <w:sz w:val="20"/>
                <w:szCs w:val="20"/>
              </w:rPr>
              <w:t>9</w:t>
            </w:r>
            <w:r w:rsidR="00C85BD5" w:rsidRPr="00FA5311">
              <w:rPr>
                <w:rFonts w:ascii="Verdana" w:hAnsi="Verdana" w:cs="Arial"/>
                <w:sz w:val="20"/>
                <w:szCs w:val="20"/>
              </w:rPr>
              <w:t xml:space="preserve"> millones, pagos del proyecto </w:t>
            </w:r>
            <w:r w:rsidRPr="00FA5311">
              <w:rPr>
                <w:rFonts w:ascii="Verdana" w:hAnsi="Verdana"/>
                <w:sz w:val="20"/>
                <w:szCs w:val="20"/>
              </w:rPr>
              <w:t>de Gobierno de Corea.</w:t>
            </w:r>
          </w:p>
          <w:p w14:paraId="3BC92600" w14:textId="452AE848" w:rsidR="00AF6CA5" w:rsidRPr="00FA5311" w:rsidRDefault="00AF6CA5" w:rsidP="00FA531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f) 1.925,2 </w:t>
            </w:r>
            <w:r w:rsidR="00A13924">
              <w:rPr>
                <w:rFonts w:ascii="Verdana" w:hAnsi="Verdana"/>
                <w:sz w:val="20"/>
                <w:szCs w:val="20"/>
              </w:rPr>
              <w:t>millones, pagos</w:t>
            </w:r>
            <w:r>
              <w:rPr>
                <w:rFonts w:ascii="Verdana" w:hAnsi="Verdana"/>
                <w:sz w:val="20"/>
                <w:szCs w:val="20"/>
              </w:rPr>
              <w:t xml:space="preserve"> del proyecto de BCIE.</w:t>
            </w:r>
          </w:p>
          <w:p w14:paraId="66E95819" w14:textId="53787B75" w:rsidR="0004373C" w:rsidRPr="007C68D7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0E5B796" w14:textId="147E79BA" w:rsidR="00C85BD5" w:rsidRDefault="00C85BD5" w:rsidP="00C85BD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) Fortalecimiento de las capacidades tecnológicas de la información en APC-COLOMBIA, con el </w:t>
            </w:r>
            <w:r w:rsidR="00246760">
              <w:rPr>
                <w:rFonts w:ascii="Verdana" w:hAnsi="Verdana" w:cs="Arial"/>
                <w:sz w:val="20"/>
                <w:szCs w:val="20"/>
              </w:rPr>
              <w:t>01,</w:t>
            </w:r>
            <w:r w:rsidR="00B40417">
              <w:rPr>
                <w:rFonts w:ascii="Verdana" w:hAnsi="Verdana" w:cs="Arial"/>
                <w:sz w:val="20"/>
                <w:szCs w:val="20"/>
              </w:rPr>
              <w:t>39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% de la ejecución 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lastRenderedPageBreak/>
              <w:t xml:space="preserve">en inversión, equivalente a </w:t>
            </w:r>
            <w:r w:rsidR="00171DFF">
              <w:rPr>
                <w:rFonts w:ascii="Verdana" w:hAnsi="Verdana" w:cs="Arial"/>
                <w:sz w:val="20"/>
                <w:szCs w:val="20"/>
              </w:rPr>
              <w:t>1</w:t>
            </w:r>
            <w:r w:rsidR="00B40417">
              <w:rPr>
                <w:rFonts w:ascii="Verdana" w:hAnsi="Verdana" w:cs="Arial"/>
                <w:sz w:val="20"/>
                <w:szCs w:val="20"/>
              </w:rPr>
              <w:t>20</w:t>
            </w:r>
            <w:r w:rsidR="00FA5311">
              <w:rPr>
                <w:rFonts w:ascii="Verdana" w:hAnsi="Verdana" w:cs="Arial"/>
                <w:sz w:val="20"/>
                <w:szCs w:val="20"/>
              </w:rPr>
              <w:t>,</w:t>
            </w:r>
            <w:r w:rsidR="00B40417">
              <w:rPr>
                <w:rFonts w:ascii="Verdana" w:hAnsi="Verdana" w:cs="Arial"/>
                <w:sz w:val="20"/>
                <w:szCs w:val="20"/>
              </w:rPr>
              <w:t>4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 millones </w:t>
            </w:r>
            <w:r>
              <w:rPr>
                <w:rFonts w:ascii="Verdana" w:hAnsi="Verdana"/>
                <w:sz w:val="20"/>
                <w:szCs w:val="20"/>
              </w:rPr>
              <w:t xml:space="preserve">pago de </w:t>
            </w:r>
            <w:r w:rsidR="00FA5311">
              <w:rPr>
                <w:rFonts w:ascii="Verdana" w:hAnsi="Verdana"/>
                <w:sz w:val="20"/>
                <w:szCs w:val="20"/>
              </w:rPr>
              <w:t>los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A5311" w:rsidRPr="00EA3C52">
              <w:rPr>
                <w:rFonts w:ascii="Verdana" w:hAnsi="Verdana"/>
                <w:sz w:val="20"/>
                <w:szCs w:val="20"/>
              </w:rPr>
              <w:t>servicio</w:t>
            </w:r>
            <w:r w:rsidR="00FA5311">
              <w:rPr>
                <w:rFonts w:ascii="Verdana" w:hAnsi="Verdana"/>
                <w:sz w:val="20"/>
                <w:szCs w:val="20"/>
              </w:rPr>
              <w:t>s profesionales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A3C52">
              <w:rPr>
                <w:rFonts w:ascii="Verdana" w:hAnsi="Verdana"/>
                <w:sz w:val="20"/>
                <w:szCs w:val="20"/>
              </w:rPr>
              <w:t>para la gestión del proye</w:t>
            </w:r>
            <w:r>
              <w:rPr>
                <w:rFonts w:ascii="Verdana" w:hAnsi="Verdana"/>
                <w:sz w:val="20"/>
                <w:szCs w:val="20"/>
              </w:rPr>
              <w:t>cto.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7C0BCAD" w14:textId="77777777" w:rsidR="006C7D70" w:rsidRDefault="006C7D70" w:rsidP="00C85BD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81301C1" w14:textId="390A4ACD" w:rsidR="001F6498" w:rsidRPr="009B7746" w:rsidRDefault="006C7D70" w:rsidP="00B40417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3) Consolidación Del Sistema </w:t>
            </w:r>
            <w:r w:rsidRPr="00C62003">
              <w:rPr>
                <w:rFonts w:ascii="Verdana" w:hAnsi="Verdana"/>
                <w:sz w:val="20"/>
                <w:szCs w:val="20"/>
              </w:rPr>
              <w:t>Nacional De Cooperación Internacional A Nivel Nacional</w:t>
            </w:r>
            <w:r>
              <w:rPr>
                <w:rFonts w:ascii="Verdana" w:hAnsi="Verdana"/>
                <w:sz w:val="20"/>
                <w:szCs w:val="20"/>
              </w:rPr>
              <w:t xml:space="preserve">, con el </w:t>
            </w:r>
            <w:r w:rsidR="00B40417">
              <w:rPr>
                <w:rFonts w:ascii="Verdana" w:hAnsi="Verdana"/>
                <w:sz w:val="20"/>
                <w:szCs w:val="20"/>
              </w:rPr>
              <w:t>4,03</w:t>
            </w:r>
            <w:r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171DFF">
              <w:rPr>
                <w:rFonts w:ascii="Verdana" w:hAnsi="Verdana"/>
                <w:sz w:val="20"/>
                <w:szCs w:val="20"/>
              </w:rPr>
              <w:t>3</w:t>
            </w:r>
            <w:r w:rsidR="00B40417">
              <w:rPr>
                <w:rFonts w:ascii="Verdana" w:hAnsi="Verdana"/>
                <w:sz w:val="20"/>
                <w:szCs w:val="20"/>
              </w:rPr>
              <w:t>48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FA5311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millones para el pago del servicio de </w:t>
            </w:r>
            <w:r w:rsidR="00B40417">
              <w:rPr>
                <w:rFonts w:ascii="Verdana" w:hAnsi="Verdana"/>
                <w:sz w:val="20"/>
                <w:szCs w:val="20"/>
              </w:rPr>
              <w:t>diez</w:t>
            </w:r>
            <w:r>
              <w:rPr>
                <w:rFonts w:ascii="Verdana" w:hAnsi="Verdana"/>
                <w:sz w:val="20"/>
                <w:szCs w:val="20"/>
              </w:rPr>
              <w:t xml:space="preserve"> profesionales para la gestión del proyecto.</w:t>
            </w:r>
          </w:p>
        </w:tc>
      </w:tr>
    </w:tbl>
    <w:p w14:paraId="68C0ADC5" w14:textId="77777777" w:rsidR="00CA4EC6" w:rsidRPr="003C58A7" w:rsidRDefault="00CA4EC6" w:rsidP="00B41CB3">
      <w:pPr>
        <w:jc w:val="center"/>
        <w:rPr>
          <w:rFonts w:ascii="Verdana" w:hAnsi="Verdana"/>
          <w:b/>
          <w:sz w:val="20"/>
          <w:szCs w:val="20"/>
        </w:rPr>
      </w:pPr>
    </w:p>
    <w:sectPr w:rsidR="00CA4EC6" w:rsidRPr="003C58A7" w:rsidSect="00FB3B05">
      <w:headerReference w:type="default" r:id="rId8"/>
      <w:footerReference w:type="default" r:id="rId9"/>
      <w:pgSz w:w="15840" w:h="12240" w:orient="landscape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BEDFD" w14:textId="77777777" w:rsidR="001A7C5F" w:rsidRDefault="001A7C5F" w:rsidP="000D42D2">
      <w:r>
        <w:separator/>
      </w:r>
    </w:p>
  </w:endnote>
  <w:endnote w:type="continuationSeparator" w:id="0">
    <w:p w14:paraId="4A68F574" w14:textId="77777777" w:rsidR="001A7C5F" w:rsidRDefault="001A7C5F" w:rsidP="000D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2A2E8" w14:textId="77777777" w:rsidR="00981DC4" w:rsidRDefault="003A11C2" w:rsidP="00B421C7">
    <w:pPr>
      <w:pStyle w:val="Piedepgina"/>
      <w:tabs>
        <w:tab w:val="clear" w:pos="4252"/>
        <w:tab w:val="clear" w:pos="8504"/>
        <w:tab w:val="left" w:pos="4138"/>
      </w:tabs>
    </w:pPr>
    <w:r>
      <w:rPr>
        <w:noProof/>
        <w:lang w:val="es-ES"/>
      </w:rPr>
      <w:drawing>
        <wp:anchor distT="0" distB="0" distL="114300" distR="114300" simplePos="0" relativeHeight="251666432" behindDoc="1" locked="0" layoutInCell="1" allowOverlap="1" wp14:anchorId="337E41CE" wp14:editId="0DAF49D7">
          <wp:simplePos x="0" y="0"/>
          <wp:positionH relativeFrom="column">
            <wp:posOffset>-881380</wp:posOffset>
          </wp:positionH>
          <wp:positionV relativeFrom="paragraph">
            <wp:posOffset>-285750</wp:posOffset>
          </wp:positionV>
          <wp:extent cx="10020300" cy="8953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castrillon:Documents:Logotipo APC-2018:PIEZAS:Hoja Carta:Formato-hoja carta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1C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E4D21" w14:textId="77777777" w:rsidR="001A7C5F" w:rsidRDefault="001A7C5F" w:rsidP="000D42D2">
      <w:r>
        <w:separator/>
      </w:r>
    </w:p>
  </w:footnote>
  <w:footnote w:type="continuationSeparator" w:id="0">
    <w:p w14:paraId="203BF72E" w14:textId="77777777" w:rsidR="001A7C5F" w:rsidRDefault="001A7C5F" w:rsidP="000D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732E2" w14:textId="77777777" w:rsidR="00981DC4" w:rsidRDefault="003A11C2" w:rsidP="00FB3B05">
    <w:pPr>
      <w:pStyle w:val="Encabezado"/>
      <w:tabs>
        <w:tab w:val="clear" w:pos="4252"/>
        <w:tab w:val="clear" w:pos="8504"/>
        <w:tab w:val="left" w:pos="2822"/>
      </w:tabs>
    </w:pPr>
    <w:r>
      <w:rPr>
        <w:noProof/>
        <w:lang w:val="es-ES"/>
      </w:rPr>
      <w:drawing>
        <wp:anchor distT="0" distB="0" distL="114300" distR="114300" simplePos="0" relativeHeight="251664384" behindDoc="1" locked="0" layoutInCell="1" allowOverlap="1" wp14:anchorId="000B2DE5" wp14:editId="47EC5846">
          <wp:simplePos x="0" y="0"/>
          <wp:positionH relativeFrom="column">
            <wp:posOffset>23495</wp:posOffset>
          </wp:positionH>
          <wp:positionV relativeFrom="paragraph">
            <wp:posOffset>-135890</wp:posOffset>
          </wp:positionV>
          <wp:extent cx="4057650" cy="633095"/>
          <wp:effectExtent l="0" t="0" r="0" b="0"/>
          <wp:wrapTight wrapText="bothSides">
            <wp:wrapPolygon edited="0">
              <wp:start x="0" y="0"/>
              <wp:lineTo x="0" y="20798"/>
              <wp:lineTo x="21499" y="20798"/>
              <wp:lineTo x="21499" y="0"/>
              <wp:lineTo x="0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370">
      <w:rPr>
        <w:rFonts w:ascii="Times New Roman" w:hAnsi="Times New Roman" w:cs="Times New Roman"/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03441B" wp14:editId="05589CA6">
              <wp:simplePos x="0" y="0"/>
              <wp:positionH relativeFrom="margin">
                <wp:posOffset>2332355</wp:posOffset>
              </wp:positionH>
              <wp:positionV relativeFrom="paragraph">
                <wp:posOffset>607060</wp:posOffset>
              </wp:positionV>
              <wp:extent cx="2593340" cy="176530"/>
              <wp:effectExtent l="0" t="0" r="0" b="508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073F5" w14:textId="77777777" w:rsidR="009B3370" w:rsidRDefault="009B3370" w:rsidP="009B3370">
                          <w:pPr>
                            <w:pStyle w:val="NormalWeb"/>
                            <w:tabs>
                              <w:tab w:val="center" w:pos="4419"/>
                              <w:tab w:val="right" w:pos="7655"/>
                              <w:tab w:val="right" w:pos="8838"/>
                            </w:tabs>
                            <w:rPr>
                              <w:rFonts w:ascii="Arial Narrow" w:eastAsiaTheme="minorHAnsi" w:hAnsi="Arial Narrow" w:cstheme="minorBidi"/>
                              <w:bCs/>
                              <w:sz w:val="1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5103441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3.65pt;margin-top:47.8pt;width:204.2pt;height:13.9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" filled="f" stroked="f">
              <v:textbox style="mso-fit-shape-to-text:t">
                <w:txbxContent>
                  <w:p w14:paraId="18B073F5" w14:textId="77777777" w:rsidR="009B3370" w:rsidRDefault="009B3370" w:rsidP="009B3370">
                    <w:pPr>
                      <w:pStyle w:val="NormalWeb"/>
                      <w:tabs>
                        <w:tab w:val="center" w:pos="4419"/>
                        <w:tab w:val="right" w:pos="7655"/>
                        <w:tab w:val="right" w:pos="8838"/>
                      </w:tabs>
                      <w:rPr>
                        <w:rFonts w:ascii="Arial Narrow" w:eastAsiaTheme="minorHAnsi" w:hAnsi="Arial Narrow" w:cstheme="minorBidi"/>
                        <w:bCs/>
                        <w:sz w:val="14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B3B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229"/>
    <w:multiLevelType w:val="hybridMultilevel"/>
    <w:tmpl w:val="E7623E80"/>
    <w:lvl w:ilvl="0" w:tplc="F8C67702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498"/>
    <w:multiLevelType w:val="hybridMultilevel"/>
    <w:tmpl w:val="C0B69214"/>
    <w:lvl w:ilvl="0" w:tplc="7908C2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7636BA"/>
    <w:multiLevelType w:val="hybridMultilevel"/>
    <w:tmpl w:val="0B1A480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B667A"/>
    <w:multiLevelType w:val="hybridMultilevel"/>
    <w:tmpl w:val="95AECA1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4927"/>
    <w:multiLevelType w:val="hybridMultilevel"/>
    <w:tmpl w:val="2592D2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46A2F"/>
    <w:multiLevelType w:val="hybridMultilevel"/>
    <w:tmpl w:val="E68291C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BD616E"/>
    <w:multiLevelType w:val="hybridMultilevel"/>
    <w:tmpl w:val="34A86B9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2BA3"/>
    <w:multiLevelType w:val="hybridMultilevel"/>
    <w:tmpl w:val="B0E26F16"/>
    <w:lvl w:ilvl="0" w:tplc="2480CDB8">
      <w:start w:val="1"/>
      <w:numFmt w:val="decimal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F381F"/>
    <w:multiLevelType w:val="hybridMultilevel"/>
    <w:tmpl w:val="4112CC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139B4"/>
    <w:multiLevelType w:val="hybridMultilevel"/>
    <w:tmpl w:val="366E6A82"/>
    <w:lvl w:ilvl="0" w:tplc="2BCECB1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05023"/>
    <w:multiLevelType w:val="hybridMultilevel"/>
    <w:tmpl w:val="F042C28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17864"/>
    <w:multiLevelType w:val="hybridMultilevel"/>
    <w:tmpl w:val="C0E81EB4"/>
    <w:lvl w:ilvl="0" w:tplc="F50A3496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34CAD"/>
    <w:multiLevelType w:val="hybridMultilevel"/>
    <w:tmpl w:val="F528BA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E2595"/>
    <w:multiLevelType w:val="hybridMultilevel"/>
    <w:tmpl w:val="091CF8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E5393"/>
    <w:multiLevelType w:val="hybridMultilevel"/>
    <w:tmpl w:val="47B450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609D0"/>
    <w:multiLevelType w:val="hybridMultilevel"/>
    <w:tmpl w:val="BF62CA1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E92446"/>
    <w:multiLevelType w:val="hybridMultilevel"/>
    <w:tmpl w:val="72047ECA"/>
    <w:lvl w:ilvl="0" w:tplc="240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73A4BAE"/>
    <w:multiLevelType w:val="hybridMultilevel"/>
    <w:tmpl w:val="CFD2329C"/>
    <w:lvl w:ilvl="0" w:tplc="2F5EB22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6002B"/>
    <w:multiLevelType w:val="hybridMultilevel"/>
    <w:tmpl w:val="518E12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D6E5D"/>
    <w:multiLevelType w:val="hybridMultilevel"/>
    <w:tmpl w:val="15A00C2A"/>
    <w:lvl w:ilvl="0" w:tplc="74A8D8B4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3"/>
  </w:num>
  <w:num w:numId="5">
    <w:abstractNumId w:val="14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2"/>
  </w:num>
  <w:num w:numId="12">
    <w:abstractNumId w:val="18"/>
  </w:num>
  <w:num w:numId="13">
    <w:abstractNumId w:val="17"/>
  </w:num>
  <w:num w:numId="14">
    <w:abstractNumId w:val="3"/>
  </w:num>
  <w:num w:numId="15">
    <w:abstractNumId w:val="15"/>
  </w:num>
  <w:num w:numId="16">
    <w:abstractNumId w:val="5"/>
  </w:num>
  <w:num w:numId="17">
    <w:abstractNumId w:val="11"/>
  </w:num>
  <w:num w:numId="18">
    <w:abstractNumId w:val="0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D2"/>
    <w:rsid w:val="00001159"/>
    <w:rsid w:val="0000129B"/>
    <w:rsid w:val="0000150E"/>
    <w:rsid w:val="00002183"/>
    <w:rsid w:val="000023EC"/>
    <w:rsid w:val="00002DBF"/>
    <w:rsid w:val="00007621"/>
    <w:rsid w:val="000101B6"/>
    <w:rsid w:val="00012B2E"/>
    <w:rsid w:val="000135D9"/>
    <w:rsid w:val="000145BA"/>
    <w:rsid w:val="00021462"/>
    <w:rsid w:val="000239CD"/>
    <w:rsid w:val="000245A9"/>
    <w:rsid w:val="000258B2"/>
    <w:rsid w:val="000265A6"/>
    <w:rsid w:val="0003104B"/>
    <w:rsid w:val="00031AEF"/>
    <w:rsid w:val="000322FF"/>
    <w:rsid w:val="000327FA"/>
    <w:rsid w:val="00033284"/>
    <w:rsid w:val="0003383D"/>
    <w:rsid w:val="000345DF"/>
    <w:rsid w:val="00034819"/>
    <w:rsid w:val="000355ED"/>
    <w:rsid w:val="00036003"/>
    <w:rsid w:val="000363B7"/>
    <w:rsid w:val="000419AD"/>
    <w:rsid w:val="00041BCF"/>
    <w:rsid w:val="0004373C"/>
    <w:rsid w:val="00044C82"/>
    <w:rsid w:val="000455A0"/>
    <w:rsid w:val="00045732"/>
    <w:rsid w:val="00047B73"/>
    <w:rsid w:val="00052079"/>
    <w:rsid w:val="00052AB3"/>
    <w:rsid w:val="00052EE3"/>
    <w:rsid w:val="0005426F"/>
    <w:rsid w:val="00062CAB"/>
    <w:rsid w:val="00066FF6"/>
    <w:rsid w:val="000670E3"/>
    <w:rsid w:val="00070B9F"/>
    <w:rsid w:val="00072D5B"/>
    <w:rsid w:val="000756F0"/>
    <w:rsid w:val="00076094"/>
    <w:rsid w:val="00076138"/>
    <w:rsid w:val="0008212A"/>
    <w:rsid w:val="00083246"/>
    <w:rsid w:val="00084411"/>
    <w:rsid w:val="00084B60"/>
    <w:rsid w:val="0008702D"/>
    <w:rsid w:val="00087216"/>
    <w:rsid w:val="00087EB8"/>
    <w:rsid w:val="00090729"/>
    <w:rsid w:val="00091634"/>
    <w:rsid w:val="00091CF9"/>
    <w:rsid w:val="000944BB"/>
    <w:rsid w:val="00097F47"/>
    <w:rsid w:val="000A0797"/>
    <w:rsid w:val="000A0999"/>
    <w:rsid w:val="000A103A"/>
    <w:rsid w:val="000A338A"/>
    <w:rsid w:val="000A3642"/>
    <w:rsid w:val="000A3E20"/>
    <w:rsid w:val="000A58D8"/>
    <w:rsid w:val="000A6AED"/>
    <w:rsid w:val="000B10ED"/>
    <w:rsid w:val="000B4931"/>
    <w:rsid w:val="000B4CFF"/>
    <w:rsid w:val="000B688F"/>
    <w:rsid w:val="000C0F06"/>
    <w:rsid w:val="000C5C51"/>
    <w:rsid w:val="000C745E"/>
    <w:rsid w:val="000D0CCE"/>
    <w:rsid w:val="000D25B0"/>
    <w:rsid w:val="000D3334"/>
    <w:rsid w:val="000D3FEB"/>
    <w:rsid w:val="000D42D2"/>
    <w:rsid w:val="000D46E1"/>
    <w:rsid w:val="000E3954"/>
    <w:rsid w:val="000E4495"/>
    <w:rsid w:val="000E4B37"/>
    <w:rsid w:val="000E582D"/>
    <w:rsid w:val="000E7A76"/>
    <w:rsid w:val="000F00F2"/>
    <w:rsid w:val="000F097E"/>
    <w:rsid w:val="000F43E9"/>
    <w:rsid w:val="000F50CE"/>
    <w:rsid w:val="000F5F4F"/>
    <w:rsid w:val="000F74E7"/>
    <w:rsid w:val="00100B8A"/>
    <w:rsid w:val="00100BDB"/>
    <w:rsid w:val="001012B9"/>
    <w:rsid w:val="00103AEF"/>
    <w:rsid w:val="00103CD2"/>
    <w:rsid w:val="00104122"/>
    <w:rsid w:val="00104B75"/>
    <w:rsid w:val="0010548D"/>
    <w:rsid w:val="00106029"/>
    <w:rsid w:val="00110126"/>
    <w:rsid w:val="0011015F"/>
    <w:rsid w:val="001117A6"/>
    <w:rsid w:val="00112015"/>
    <w:rsid w:val="00112321"/>
    <w:rsid w:val="00113F88"/>
    <w:rsid w:val="001159B7"/>
    <w:rsid w:val="001160A3"/>
    <w:rsid w:val="00116FC5"/>
    <w:rsid w:val="0012070D"/>
    <w:rsid w:val="001208B7"/>
    <w:rsid w:val="001217CD"/>
    <w:rsid w:val="0012189C"/>
    <w:rsid w:val="00121948"/>
    <w:rsid w:val="00123A1A"/>
    <w:rsid w:val="00123DEA"/>
    <w:rsid w:val="001243F5"/>
    <w:rsid w:val="00124C7F"/>
    <w:rsid w:val="001251B0"/>
    <w:rsid w:val="00126649"/>
    <w:rsid w:val="00126F41"/>
    <w:rsid w:val="00127466"/>
    <w:rsid w:val="00130EF2"/>
    <w:rsid w:val="001358DD"/>
    <w:rsid w:val="001401CF"/>
    <w:rsid w:val="00143276"/>
    <w:rsid w:val="00144029"/>
    <w:rsid w:val="00144592"/>
    <w:rsid w:val="001447A3"/>
    <w:rsid w:val="00145653"/>
    <w:rsid w:val="00146065"/>
    <w:rsid w:val="00147638"/>
    <w:rsid w:val="00154350"/>
    <w:rsid w:val="00154641"/>
    <w:rsid w:val="00155E80"/>
    <w:rsid w:val="0015718A"/>
    <w:rsid w:val="001574A9"/>
    <w:rsid w:val="00160E5D"/>
    <w:rsid w:val="001620CE"/>
    <w:rsid w:val="001635AC"/>
    <w:rsid w:val="001644BB"/>
    <w:rsid w:val="001645D6"/>
    <w:rsid w:val="0016603E"/>
    <w:rsid w:val="00171DFF"/>
    <w:rsid w:val="00172997"/>
    <w:rsid w:val="00172CB9"/>
    <w:rsid w:val="001738E7"/>
    <w:rsid w:val="00176925"/>
    <w:rsid w:val="00177162"/>
    <w:rsid w:val="00182BFD"/>
    <w:rsid w:val="00182C5F"/>
    <w:rsid w:val="0018536E"/>
    <w:rsid w:val="0018636A"/>
    <w:rsid w:val="00190B4F"/>
    <w:rsid w:val="00192EC0"/>
    <w:rsid w:val="00195CB4"/>
    <w:rsid w:val="001968AE"/>
    <w:rsid w:val="00196AAC"/>
    <w:rsid w:val="00196D9B"/>
    <w:rsid w:val="001974EF"/>
    <w:rsid w:val="001A11F3"/>
    <w:rsid w:val="001A2C44"/>
    <w:rsid w:val="001A3E44"/>
    <w:rsid w:val="001A40CB"/>
    <w:rsid w:val="001A449D"/>
    <w:rsid w:val="001A58BC"/>
    <w:rsid w:val="001A5CE3"/>
    <w:rsid w:val="001A7A79"/>
    <w:rsid w:val="001A7C5F"/>
    <w:rsid w:val="001A7FF3"/>
    <w:rsid w:val="001B015C"/>
    <w:rsid w:val="001B14AF"/>
    <w:rsid w:val="001B1F16"/>
    <w:rsid w:val="001B2BED"/>
    <w:rsid w:val="001B4690"/>
    <w:rsid w:val="001B64CC"/>
    <w:rsid w:val="001B7049"/>
    <w:rsid w:val="001C0118"/>
    <w:rsid w:val="001C0F84"/>
    <w:rsid w:val="001C1F0E"/>
    <w:rsid w:val="001C2367"/>
    <w:rsid w:val="001C3F9F"/>
    <w:rsid w:val="001C53A2"/>
    <w:rsid w:val="001C725E"/>
    <w:rsid w:val="001D11D2"/>
    <w:rsid w:val="001D1D07"/>
    <w:rsid w:val="001D5307"/>
    <w:rsid w:val="001D7680"/>
    <w:rsid w:val="001E0801"/>
    <w:rsid w:val="001E22C0"/>
    <w:rsid w:val="001E2EA5"/>
    <w:rsid w:val="001E4610"/>
    <w:rsid w:val="001E4FA5"/>
    <w:rsid w:val="001E5A6C"/>
    <w:rsid w:val="001E6568"/>
    <w:rsid w:val="001E6F30"/>
    <w:rsid w:val="001E7DFA"/>
    <w:rsid w:val="001F5002"/>
    <w:rsid w:val="001F5213"/>
    <w:rsid w:val="001F6498"/>
    <w:rsid w:val="001F6745"/>
    <w:rsid w:val="00203FD4"/>
    <w:rsid w:val="00205C13"/>
    <w:rsid w:val="00205D21"/>
    <w:rsid w:val="00206E99"/>
    <w:rsid w:val="00211E13"/>
    <w:rsid w:val="00212C54"/>
    <w:rsid w:val="00212D93"/>
    <w:rsid w:val="00213397"/>
    <w:rsid w:val="00213C4B"/>
    <w:rsid w:val="00216932"/>
    <w:rsid w:val="0022076C"/>
    <w:rsid w:val="00220BAC"/>
    <w:rsid w:val="0022316E"/>
    <w:rsid w:val="0022342E"/>
    <w:rsid w:val="00224892"/>
    <w:rsid w:val="0023060C"/>
    <w:rsid w:val="00232C17"/>
    <w:rsid w:val="00234513"/>
    <w:rsid w:val="00234E57"/>
    <w:rsid w:val="002354E5"/>
    <w:rsid w:val="00237829"/>
    <w:rsid w:val="00241F24"/>
    <w:rsid w:val="00243D5E"/>
    <w:rsid w:val="00244DF6"/>
    <w:rsid w:val="00244E97"/>
    <w:rsid w:val="002457D5"/>
    <w:rsid w:val="00245D35"/>
    <w:rsid w:val="00246011"/>
    <w:rsid w:val="00246760"/>
    <w:rsid w:val="00247819"/>
    <w:rsid w:val="0025037B"/>
    <w:rsid w:val="00250DE8"/>
    <w:rsid w:val="00251D5A"/>
    <w:rsid w:val="00251F73"/>
    <w:rsid w:val="00254694"/>
    <w:rsid w:val="00254A0E"/>
    <w:rsid w:val="00255E96"/>
    <w:rsid w:val="002571E7"/>
    <w:rsid w:val="0026092F"/>
    <w:rsid w:val="00264608"/>
    <w:rsid w:val="00265A04"/>
    <w:rsid w:val="00265D9B"/>
    <w:rsid w:val="0027249A"/>
    <w:rsid w:val="00273008"/>
    <w:rsid w:val="00274952"/>
    <w:rsid w:val="00274FB5"/>
    <w:rsid w:val="002758E6"/>
    <w:rsid w:val="002762E5"/>
    <w:rsid w:val="002772EE"/>
    <w:rsid w:val="00277378"/>
    <w:rsid w:val="00283B0B"/>
    <w:rsid w:val="00284182"/>
    <w:rsid w:val="00286DF3"/>
    <w:rsid w:val="002876A6"/>
    <w:rsid w:val="00291F1C"/>
    <w:rsid w:val="002926C1"/>
    <w:rsid w:val="00292784"/>
    <w:rsid w:val="00293476"/>
    <w:rsid w:val="00296429"/>
    <w:rsid w:val="00296A70"/>
    <w:rsid w:val="002A0D37"/>
    <w:rsid w:val="002A1602"/>
    <w:rsid w:val="002A2023"/>
    <w:rsid w:val="002A240D"/>
    <w:rsid w:val="002A3D8F"/>
    <w:rsid w:val="002A6251"/>
    <w:rsid w:val="002A6F64"/>
    <w:rsid w:val="002B1293"/>
    <w:rsid w:val="002B13F8"/>
    <w:rsid w:val="002B1F8C"/>
    <w:rsid w:val="002B2795"/>
    <w:rsid w:val="002B3F03"/>
    <w:rsid w:val="002B435B"/>
    <w:rsid w:val="002B4E41"/>
    <w:rsid w:val="002B6279"/>
    <w:rsid w:val="002B6891"/>
    <w:rsid w:val="002B7882"/>
    <w:rsid w:val="002B7AF6"/>
    <w:rsid w:val="002B7C0A"/>
    <w:rsid w:val="002C4438"/>
    <w:rsid w:val="002C483A"/>
    <w:rsid w:val="002C5256"/>
    <w:rsid w:val="002C53DD"/>
    <w:rsid w:val="002C63AF"/>
    <w:rsid w:val="002D03FC"/>
    <w:rsid w:val="002D0C5C"/>
    <w:rsid w:val="002D4564"/>
    <w:rsid w:val="002D4C07"/>
    <w:rsid w:val="002D5316"/>
    <w:rsid w:val="002D5AE0"/>
    <w:rsid w:val="002D6765"/>
    <w:rsid w:val="002D6DF6"/>
    <w:rsid w:val="002E19CE"/>
    <w:rsid w:val="002F06C2"/>
    <w:rsid w:val="002F433E"/>
    <w:rsid w:val="002F4FDB"/>
    <w:rsid w:val="002F531E"/>
    <w:rsid w:val="002F77CB"/>
    <w:rsid w:val="00302CBA"/>
    <w:rsid w:val="0030355A"/>
    <w:rsid w:val="003074AA"/>
    <w:rsid w:val="00313B5F"/>
    <w:rsid w:val="00315431"/>
    <w:rsid w:val="00315643"/>
    <w:rsid w:val="00316E86"/>
    <w:rsid w:val="00321E7F"/>
    <w:rsid w:val="00324055"/>
    <w:rsid w:val="00324FBA"/>
    <w:rsid w:val="00326A4A"/>
    <w:rsid w:val="00326F9E"/>
    <w:rsid w:val="00330D08"/>
    <w:rsid w:val="00331583"/>
    <w:rsid w:val="0033305E"/>
    <w:rsid w:val="00333A74"/>
    <w:rsid w:val="00333AF5"/>
    <w:rsid w:val="003353FB"/>
    <w:rsid w:val="003357D2"/>
    <w:rsid w:val="00341497"/>
    <w:rsid w:val="00342BC9"/>
    <w:rsid w:val="00344DCE"/>
    <w:rsid w:val="00347499"/>
    <w:rsid w:val="0034775A"/>
    <w:rsid w:val="00350551"/>
    <w:rsid w:val="00353B9A"/>
    <w:rsid w:val="00355DFC"/>
    <w:rsid w:val="00363008"/>
    <w:rsid w:val="00363BED"/>
    <w:rsid w:val="003656E7"/>
    <w:rsid w:val="00365E78"/>
    <w:rsid w:val="0036641A"/>
    <w:rsid w:val="0037032C"/>
    <w:rsid w:val="003725D8"/>
    <w:rsid w:val="00374439"/>
    <w:rsid w:val="003754DB"/>
    <w:rsid w:val="0037712E"/>
    <w:rsid w:val="003775DA"/>
    <w:rsid w:val="00380F49"/>
    <w:rsid w:val="00382221"/>
    <w:rsid w:val="003827F0"/>
    <w:rsid w:val="00382C70"/>
    <w:rsid w:val="00383069"/>
    <w:rsid w:val="00383503"/>
    <w:rsid w:val="00384BA9"/>
    <w:rsid w:val="003879A1"/>
    <w:rsid w:val="00391F15"/>
    <w:rsid w:val="00392FD5"/>
    <w:rsid w:val="00395614"/>
    <w:rsid w:val="0039662D"/>
    <w:rsid w:val="003966EE"/>
    <w:rsid w:val="00396EBF"/>
    <w:rsid w:val="00396EFB"/>
    <w:rsid w:val="00397300"/>
    <w:rsid w:val="00397826"/>
    <w:rsid w:val="003A0145"/>
    <w:rsid w:val="003A070E"/>
    <w:rsid w:val="003A09C5"/>
    <w:rsid w:val="003A11C2"/>
    <w:rsid w:val="003A31FA"/>
    <w:rsid w:val="003A3C1F"/>
    <w:rsid w:val="003A50F2"/>
    <w:rsid w:val="003A5684"/>
    <w:rsid w:val="003A5F8C"/>
    <w:rsid w:val="003A6701"/>
    <w:rsid w:val="003A6AFB"/>
    <w:rsid w:val="003A742D"/>
    <w:rsid w:val="003B19A9"/>
    <w:rsid w:val="003B4098"/>
    <w:rsid w:val="003B44FE"/>
    <w:rsid w:val="003B61E7"/>
    <w:rsid w:val="003B73DB"/>
    <w:rsid w:val="003C118D"/>
    <w:rsid w:val="003C330C"/>
    <w:rsid w:val="003C396A"/>
    <w:rsid w:val="003C4D32"/>
    <w:rsid w:val="003C51CF"/>
    <w:rsid w:val="003C58A7"/>
    <w:rsid w:val="003C5BB3"/>
    <w:rsid w:val="003C6BE9"/>
    <w:rsid w:val="003C76D4"/>
    <w:rsid w:val="003C7ECA"/>
    <w:rsid w:val="003D267A"/>
    <w:rsid w:val="003D28B1"/>
    <w:rsid w:val="003D3D42"/>
    <w:rsid w:val="003D528E"/>
    <w:rsid w:val="003D52A5"/>
    <w:rsid w:val="003D6889"/>
    <w:rsid w:val="003D76DD"/>
    <w:rsid w:val="003D7739"/>
    <w:rsid w:val="003D79E0"/>
    <w:rsid w:val="003D7C1A"/>
    <w:rsid w:val="003E01B6"/>
    <w:rsid w:val="003E10C8"/>
    <w:rsid w:val="003E17AF"/>
    <w:rsid w:val="003E351F"/>
    <w:rsid w:val="003E42EA"/>
    <w:rsid w:val="003F06C2"/>
    <w:rsid w:val="003F0AD5"/>
    <w:rsid w:val="003F2322"/>
    <w:rsid w:val="003F246B"/>
    <w:rsid w:val="003F27E7"/>
    <w:rsid w:val="003F347F"/>
    <w:rsid w:val="003F607B"/>
    <w:rsid w:val="00404E97"/>
    <w:rsid w:val="00411873"/>
    <w:rsid w:val="00412D82"/>
    <w:rsid w:val="00413E0C"/>
    <w:rsid w:val="00415A61"/>
    <w:rsid w:val="004162C2"/>
    <w:rsid w:val="0042533F"/>
    <w:rsid w:val="00425BBC"/>
    <w:rsid w:val="00426BF5"/>
    <w:rsid w:val="00426D3A"/>
    <w:rsid w:val="00427DCD"/>
    <w:rsid w:val="004339F0"/>
    <w:rsid w:val="004346C7"/>
    <w:rsid w:val="00434987"/>
    <w:rsid w:val="00434D94"/>
    <w:rsid w:val="004364CC"/>
    <w:rsid w:val="00441C38"/>
    <w:rsid w:val="00443E32"/>
    <w:rsid w:val="004440F8"/>
    <w:rsid w:val="004442B1"/>
    <w:rsid w:val="0044552A"/>
    <w:rsid w:val="00450097"/>
    <w:rsid w:val="004506C0"/>
    <w:rsid w:val="004509FE"/>
    <w:rsid w:val="0045189C"/>
    <w:rsid w:val="00451D8B"/>
    <w:rsid w:val="004536BA"/>
    <w:rsid w:val="00453ED1"/>
    <w:rsid w:val="00455F72"/>
    <w:rsid w:val="00456CE5"/>
    <w:rsid w:val="00460C08"/>
    <w:rsid w:val="004624AB"/>
    <w:rsid w:val="0046420F"/>
    <w:rsid w:val="00464CE7"/>
    <w:rsid w:val="004672AF"/>
    <w:rsid w:val="00470513"/>
    <w:rsid w:val="00470F59"/>
    <w:rsid w:val="00474DCA"/>
    <w:rsid w:val="00474FBD"/>
    <w:rsid w:val="004757DE"/>
    <w:rsid w:val="00475859"/>
    <w:rsid w:val="00476DFF"/>
    <w:rsid w:val="004775B7"/>
    <w:rsid w:val="004779AA"/>
    <w:rsid w:val="00480F2E"/>
    <w:rsid w:val="00481B46"/>
    <w:rsid w:val="00482E4C"/>
    <w:rsid w:val="00483329"/>
    <w:rsid w:val="00483E61"/>
    <w:rsid w:val="00485CA6"/>
    <w:rsid w:val="00490246"/>
    <w:rsid w:val="00490925"/>
    <w:rsid w:val="00491107"/>
    <w:rsid w:val="0049188E"/>
    <w:rsid w:val="00491D45"/>
    <w:rsid w:val="00493ADA"/>
    <w:rsid w:val="004946BE"/>
    <w:rsid w:val="00494F72"/>
    <w:rsid w:val="004952EB"/>
    <w:rsid w:val="00496035"/>
    <w:rsid w:val="00496162"/>
    <w:rsid w:val="004969E0"/>
    <w:rsid w:val="004A125D"/>
    <w:rsid w:val="004A21C2"/>
    <w:rsid w:val="004A25FD"/>
    <w:rsid w:val="004A313B"/>
    <w:rsid w:val="004A5F54"/>
    <w:rsid w:val="004A6740"/>
    <w:rsid w:val="004A6809"/>
    <w:rsid w:val="004A6F38"/>
    <w:rsid w:val="004B0727"/>
    <w:rsid w:val="004B35F0"/>
    <w:rsid w:val="004B5269"/>
    <w:rsid w:val="004C43E8"/>
    <w:rsid w:val="004C471E"/>
    <w:rsid w:val="004C5B4B"/>
    <w:rsid w:val="004C6454"/>
    <w:rsid w:val="004D29CE"/>
    <w:rsid w:val="004D29D4"/>
    <w:rsid w:val="004D51DB"/>
    <w:rsid w:val="004D5329"/>
    <w:rsid w:val="004D5344"/>
    <w:rsid w:val="004D5B1A"/>
    <w:rsid w:val="004D66CC"/>
    <w:rsid w:val="004D71C5"/>
    <w:rsid w:val="004E301F"/>
    <w:rsid w:val="004E390C"/>
    <w:rsid w:val="004E4201"/>
    <w:rsid w:val="004E52EC"/>
    <w:rsid w:val="004E5B75"/>
    <w:rsid w:val="004E6A4F"/>
    <w:rsid w:val="004F169C"/>
    <w:rsid w:val="004F2CF7"/>
    <w:rsid w:val="004F2FC9"/>
    <w:rsid w:val="004F6CA7"/>
    <w:rsid w:val="004F7677"/>
    <w:rsid w:val="004F7D1E"/>
    <w:rsid w:val="005021C4"/>
    <w:rsid w:val="005035AC"/>
    <w:rsid w:val="00503632"/>
    <w:rsid w:val="00503875"/>
    <w:rsid w:val="00503B17"/>
    <w:rsid w:val="0050461D"/>
    <w:rsid w:val="00506081"/>
    <w:rsid w:val="00506639"/>
    <w:rsid w:val="005110AE"/>
    <w:rsid w:val="00511E8C"/>
    <w:rsid w:val="00512D3D"/>
    <w:rsid w:val="005130AA"/>
    <w:rsid w:val="005137E7"/>
    <w:rsid w:val="00514817"/>
    <w:rsid w:val="00514D4B"/>
    <w:rsid w:val="0051568B"/>
    <w:rsid w:val="00516FBD"/>
    <w:rsid w:val="00517D33"/>
    <w:rsid w:val="00517EEF"/>
    <w:rsid w:val="00520853"/>
    <w:rsid w:val="00520F26"/>
    <w:rsid w:val="00522588"/>
    <w:rsid w:val="005238A0"/>
    <w:rsid w:val="00524876"/>
    <w:rsid w:val="00524F43"/>
    <w:rsid w:val="00525787"/>
    <w:rsid w:val="005274AA"/>
    <w:rsid w:val="00527BBB"/>
    <w:rsid w:val="00527C49"/>
    <w:rsid w:val="00532ACA"/>
    <w:rsid w:val="005341C8"/>
    <w:rsid w:val="005365D4"/>
    <w:rsid w:val="00536711"/>
    <w:rsid w:val="00541CCA"/>
    <w:rsid w:val="00543E04"/>
    <w:rsid w:val="00545594"/>
    <w:rsid w:val="00551A00"/>
    <w:rsid w:val="005536DB"/>
    <w:rsid w:val="00554D2D"/>
    <w:rsid w:val="00554E60"/>
    <w:rsid w:val="005572D7"/>
    <w:rsid w:val="00557A65"/>
    <w:rsid w:val="00557C55"/>
    <w:rsid w:val="00560B40"/>
    <w:rsid w:val="00563092"/>
    <w:rsid w:val="00563108"/>
    <w:rsid w:val="00567A1B"/>
    <w:rsid w:val="00570CDD"/>
    <w:rsid w:val="005719BB"/>
    <w:rsid w:val="005745D3"/>
    <w:rsid w:val="005756B9"/>
    <w:rsid w:val="005778FA"/>
    <w:rsid w:val="00580B9A"/>
    <w:rsid w:val="00580D94"/>
    <w:rsid w:val="00582BF7"/>
    <w:rsid w:val="00586E06"/>
    <w:rsid w:val="00587024"/>
    <w:rsid w:val="00590D81"/>
    <w:rsid w:val="00591FA8"/>
    <w:rsid w:val="00593ABA"/>
    <w:rsid w:val="00596ADE"/>
    <w:rsid w:val="00597680"/>
    <w:rsid w:val="005A10B1"/>
    <w:rsid w:val="005A2D3C"/>
    <w:rsid w:val="005A7311"/>
    <w:rsid w:val="005A7EFE"/>
    <w:rsid w:val="005B07E5"/>
    <w:rsid w:val="005B335D"/>
    <w:rsid w:val="005B6BF7"/>
    <w:rsid w:val="005C3277"/>
    <w:rsid w:val="005C4D3A"/>
    <w:rsid w:val="005C537F"/>
    <w:rsid w:val="005C53B3"/>
    <w:rsid w:val="005C6968"/>
    <w:rsid w:val="005C7AFC"/>
    <w:rsid w:val="005D0418"/>
    <w:rsid w:val="005D13E1"/>
    <w:rsid w:val="005D25DE"/>
    <w:rsid w:val="005D31F7"/>
    <w:rsid w:val="005D5AF0"/>
    <w:rsid w:val="005E19B2"/>
    <w:rsid w:val="005E20B2"/>
    <w:rsid w:val="005E3DCF"/>
    <w:rsid w:val="005E44A1"/>
    <w:rsid w:val="005E47F8"/>
    <w:rsid w:val="005E5147"/>
    <w:rsid w:val="005E5D27"/>
    <w:rsid w:val="005F111F"/>
    <w:rsid w:val="005F2329"/>
    <w:rsid w:val="005F2676"/>
    <w:rsid w:val="005F2DA8"/>
    <w:rsid w:val="005F2E51"/>
    <w:rsid w:val="005F33AD"/>
    <w:rsid w:val="005F4792"/>
    <w:rsid w:val="005F4974"/>
    <w:rsid w:val="00602145"/>
    <w:rsid w:val="00602376"/>
    <w:rsid w:val="0060351C"/>
    <w:rsid w:val="006056D1"/>
    <w:rsid w:val="00606BC1"/>
    <w:rsid w:val="006108A7"/>
    <w:rsid w:val="00610F4C"/>
    <w:rsid w:val="00613D78"/>
    <w:rsid w:val="00614AB4"/>
    <w:rsid w:val="0061622B"/>
    <w:rsid w:val="00616429"/>
    <w:rsid w:val="006202C0"/>
    <w:rsid w:val="006205BE"/>
    <w:rsid w:val="00620ACB"/>
    <w:rsid w:val="00620F4E"/>
    <w:rsid w:val="00621155"/>
    <w:rsid w:val="006234DD"/>
    <w:rsid w:val="0062575E"/>
    <w:rsid w:val="0062605D"/>
    <w:rsid w:val="00626B58"/>
    <w:rsid w:val="00630359"/>
    <w:rsid w:val="00632BEA"/>
    <w:rsid w:val="00632EB4"/>
    <w:rsid w:val="0063415E"/>
    <w:rsid w:val="00634DFF"/>
    <w:rsid w:val="006405B6"/>
    <w:rsid w:val="00640E25"/>
    <w:rsid w:val="00641F37"/>
    <w:rsid w:val="00642AF1"/>
    <w:rsid w:val="00643AEE"/>
    <w:rsid w:val="00643D4C"/>
    <w:rsid w:val="006443FF"/>
    <w:rsid w:val="00646C89"/>
    <w:rsid w:val="00646E73"/>
    <w:rsid w:val="00650479"/>
    <w:rsid w:val="006506F8"/>
    <w:rsid w:val="006519A2"/>
    <w:rsid w:val="00655D12"/>
    <w:rsid w:val="00656887"/>
    <w:rsid w:val="006569CD"/>
    <w:rsid w:val="00660493"/>
    <w:rsid w:val="00661833"/>
    <w:rsid w:val="00662FF4"/>
    <w:rsid w:val="0066457B"/>
    <w:rsid w:val="00664647"/>
    <w:rsid w:val="00665796"/>
    <w:rsid w:val="006661AB"/>
    <w:rsid w:val="00666439"/>
    <w:rsid w:val="006667C2"/>
    <w:rsid w:val="0066729B"/>
    <w:rsid w:val="00675F77"/>
    <w:rsid w:val="0067778C"/>
    <w:rsid w:val="00681998"/>
    <w:rsid w:val="00681E91"/>
    <w:rsid w:val="0068206C"/>
    <w:rsid w:val="00682671"/>
    <w:rsid w:val="0068481A"/>
    <w:rsid w:val="00686DAB"/>
    <w:rsid w:val="00690101"/>
    <w:rsid w:val="0069104E"/>
    <w:rsid w:val="0069199D"/>
    <w:rsid w:val="00691C73"/>
    <w:rsid w:val="00692442"/>
    <w:rsid w:val="00693F2D"/>
    <w:rsid w:val="006940D4"/>
    <w:rsid w:val="0069547B"/>
    <w:rsid w:val="0069630A"/>
    <w:rsid w:val="006A0B0B"/>
    <w:rsid w:val="006A1FA4"/>
    <w:rsid w:val="006A72E5"/>
    <w:rsid w:val="006B02C1"/>
    <w:rsid w:val="006B077F"/>
    <w:rsid w:val="006B117F"/>
    <w:rsid w:val="006B118E"/>
    <w:rsid w:val="006B264B"/>
    <w:rsid w:val="006B3A96"/>
    <w:rsid w:val="006B3C37"/>
    <w:rsid w:val="006B6936"/>
    <w:rsid w:val="006C12E6"/>
    <w:rsid w:val="006C45AF"/>
    <w:rsid w:val="006C4905"/>
    <w:rsid w:val="006C49C9"/>
    <w:rsid w:val="006C5C8F"/>
    <w:rsid w:val="006C6596"/>
    <w:rsid w:val="006C6602"/>
    <w:rsid w:val="006C6FC4"/>
    <w:rsid w:val="006C7D70"/>
    <w:rsid w:val="006D06D0"/>
    <w:rsid w:val="006D212E"/>
    <w:rsid w:val="006D28ED"/>
    <w:rsid w:val="006D3B6D"/>
    <w:rsid w:val="006D42A7"/>
    <w:rsid w:val="006D4D50"/>
    <w:rsid w:val="006D5C8A"/>
    <w:rsid w:val="006D72F7"/>
    <w:rsid w:val="006D7DA5"/>
    <w:rsid w:val="006D7E6A"/>
    <w:rsid w:val="006E3D99"/>
    <w:rsid w:val="006E474C"/>
    <w:rsid w:val="006E5426"/>
    <w:rsid w:val="006E6210"/>
    <w:rsid w:val="006F0197"/>
    <w:rsid w:val="006F09BE"/>
    <w:rsid w:val="006F19B4"/>
    <w:rsid w:val="006F575C"/>
    <w:rsid w:val="006F65B6"/>
    <w:rsid w:val="006F6B3B"/>
    <w:rsid w:val="00700126"/>
    <w:rsid w:val="007010AA"/>
    <w:rsid w:val="00702486"/>
    <w:rsid w:val="00703DFC"/>
    <w:rsid w:val="007046F3"/>
    <w:rsid w:val="0070592A"/>
    <w:rsid w:val="0070599D"/>
    <w:rsid w:val="0070653C"/>
    <w:rsid w:val="00707190"/>
    <w:rsid w:val="007077BA"/>
    <w:rsid w:val="00710A58"/>
    <w:rsid w:val="0071441B"/>
    <w:rsid w:val="00715E7A"/>
    <w:rsid w:val="00716E8C"/>
    <w:rsid w:val="00720283"/>
    <w:rsid w:val="00720A15"/>
    <w:rsid w:val="007278B8"/>
    <w:rsid w:val="0073047C"/>
    <w:rsid w:val="007309D3"/>
    <w:rsid w:val="00733BB9"/>
    <w:rsid w:val="00733F8C"/>
    <w:rsid w:val="00737395"/>
    <w:rsid w:val="00742087"/>
    <w:rsid w:val="007421FA"/>
    <w:rsid w:val="007431B2"/>
    <w:rsid w:val="007442ED"/>
    <w:rsid w:val="00746AE6"/>
    <w:rsid w:val="00747139"/>
    <w:rsid w:val="007522F9"/>
    <w:rsid w:val="00754541"/>
    <w:rsid w:val="007615D8"/>
    <w:rsid w:val="007647E4"/>
    <w:rsid w:val="0076550A"/>
    <w:rsid w:val="00765BF5"/>
    <w:rsid w:val="00766002"/>
    <w:rsid w:val="007666A5"/>
    <w:rsid w:val="00766E71"/>
    <w:rsid w:val="00770204"/>
    <w:rsid w:val="00770645"/>
    <w:rsid w:val="00771EB0"/>
    <w:rsid w:val="00780190"/>
    <w:rsid w:val="00781219"/>
    <w:rsid w:val="00781EFA"/>
    <w:rsid w:val="00783C2E"/>
    <w:rsid w:val="00784A24"/>
    <w:rsid w:val="00784C1B"/>
    <w:rsid w:val="00787B20"/>
    <w:rsid w:val="00790E69"/>
    <w:rsid w:val="007942B4"/>
    <w:rsid w:val="00795678"/>
    <w:rsid w:val="00796CA4"/>
    <w:rsid w:val="007A133C"/>
    <w:rsid w:val="007A24B7"/>
    <w:rsid w:val="007A2DEB"/>
    <w:rsid w:val="007A4236"/>
    <w:rsid w:val="007A432B"/>
    <w:rsid w:val="007A5B9B"/>
    <w:rsid w:val="007A5C10"/>
    <w:rsid w:val="007A6E7B"/>
    <w:rsid w:val="007A73B4"/>
    <w:rsid w:val="007A75CE"/>
    <w:rsid w:val="007B096C"/>
    <w:rsid w:val="007B19CC"/>
    <w:rsid w:val="007B2A21"/>
    <w:rsid w:val="007B376F"/>
    <w:rsid w:val="007B3FC8"/>
    <w:rsid w:val="007B4631"/>
    <w:rsid w:val="007B6623"/>
    <w:rsid w:val="007B7B33"/>
    <w:rsid w:val="007C13FE"/>
    <w:rsid w:val="007C5CF8"/>
    <w:rsid w:val="007C681E"/>
    <w:rsid w:val="007C7EC8"/>
    <w:rsid w:val="007D2AE8"/>
    <w:rsid w:val="007D2E8C"/>
    <w:rsid w:val="007D2EA0"/>
    <w:rsid w:val="007D4BD3"/>
    <w:rsid w:val="007E12A2"/>
    <w:rsid w:val="007E49F5"/>
    <w:rsid w:val="007E558C"/>
    <w:rsid w:val="007E578F"/>
    <w:rsid w:val="007E5ED6"/>
    <w:rsid w:val="007F5943"/>
    <w:rsid w:val="007F6246"/>
    <w:rsid w:val="007F7CBA"/>
    <w:rsid w:val="0080087B"/>
    <w:rsid w:val="008019E9"/>
    <w:rsid w:val="008043F3"/>
    <w:rsid w:val="0080614B"/>
    <w:rsid w:val="00806624"/>
    <w:rsid w:val="008110D5"/>
    <w:rsid w:val="008126D2"/>
    <w:rsid w:val="00814E4A"/>
    <w:rsid w:val="0081521A"/>
    <w:rsid w:val="00817315"/>
    <w:rsid w:val="00817550"/>
    <w:rsid w:val="00822E8E"/>
    <w:rsid w:val="0082384C"/>
    <w:rsid w:val="00823DC7"/>
    <w:rsid w:val="00826459"/>
    <w:rsid w:val="00830626"/>
    <w:rsid w:val="00832C33"/>
    <w:rsid w:val="008331F0"/>
    <w:rsid w:val="00835333"/>
    <w:rsid w:val="00835ED4"/>
    <w:rsid w:val="0083624A"/>
    <w:rsid w:val="00852D62"/>
    <w:rsid w:val="00855C99"/>
    <w:rsid w:val="008569B0"/>
    <w:rsid w:val="00857271"/>
    <w:rsid w:val="00857585"/>
    <w:rsid w:val="0085799A"/>
    <w:rsid w:val="00860A9A"/>
    <w:rsid w:val="00861520"/>
    <w:rsid w:val="00863139"/>
    <w:rsid w:val="00867334"/>
    <w:rsid w:val="008713CF"/>
    <w:rsid w:val="008730C9"/>
    <w:rsid w:val="00873972"/>
    <w:rsid w:val="00874665"/>
    <w:rsid w:val="00875CA8"/>
    <w:rsid w:val="0088042F"/>
    <w:rsid w:val="00880B9E"/>
    <w:rsid w:val="00882B57"/>
    <w:rsid w:val="00882C72"/>
    <w:rsid w:val="00883828"/>
    <w:rsid w:val="00883BD6"/>
    <w:rsid w:val="00885F1C"/>
    <w:rsid w:val="008871CC"/>
    <w:rsid w:val="00887400"/>
    <w:rsid w:val="008878B0"/>
    <w:rsid w:val="00890AC4"/>
    <w:rsid w:val="00890FFD"/>
    <w:rsid w:val="0089384C"/>
    <w:rsid w:val="0089644D"/>
    <w:rsid w:val="00897854"/>
    <w:rsid w:val="00897DA9"/>
    <w:rsid w:val="008A095F"/>
    <w:rsid w:val="008A17FC"/>
    <w:rsid w:val="008A263B"/>
    <w:rsid w:val="008A5C5C"/>
    <w:rsid w:val="008A6D46"/>
    <w:rsid w:val="008A74F6"/>
    <w:rsid w:val="008B50AC"/>
    <w:rsid w:val="008B6A07"/>
    <w:rsid w:val="008C2401"/>
    <w:rsid w:val="008C2EE1"/>
    <w:rsid w:val="008C3868"/>
    <w:rsid w:val="008C5467"/>
    <w:rsid w:val="008C7D14"/>
    <w:rsid w:val="008D1343"/>
    <w:rsid w:val="008D15FC"/>
    <w:rsid w:val="008D5569"/>
    <w:rsid w:val="008D77E1"/>
    <w:rsid w:val="008E11DE"/>
    <w:rsid w:val="008E21DE"/>
    <w:rsid w:val="008E4D60"/>
    <w:rsid w:val="008E5D9A"/>
    <w:rsid w:val="008E618D"/>
    <w:rsid w:val="008F36AA"/>
    <w:rsid w:val="008F39D9"/>
    <w:rsid w:val="008F4F34"/>
    <w:rsid w:val="008F54E2"/>
    <w:rsid w:val="008F671A"/>
    <w:rsid w:val="008F7017"/>
    <w:rsid w:val="009005D4"/>
    <w:rsid w:val="00900CB3"/>
    <w:rsid w:val="00901D04"/>
    <w:rsid w:val="0090565B"/>
    <w:rsid w:val="00906A14"/>
    <w:rsid w:val="00907707"/>
    <w:rsid w:val="00907A75"/>
    <w:rsid w:val="00913E05"/>
    <w:rsid w:val="00914F6E"/>
    <w:rsid w:val="00915819"/>
    <w:rsid w:val="009208F0"/>
    <w:rsid w:val="009213E9"/>
    <w:rsid w:val="00921412"/>
    <w:rsid w:val="00921434"/>
    <w:rsid w:val="009222A3"/>
    <w:rsid w:val="0092257A"/>
    <w:rsid w:val="00924021"/>
    <w:rsid w:val="00924DE1"/>
    <w:rsid w:val="009257B2"/>
    <w:rsid w:val="00925823"/>
    <w:rsid w:val="00925A4A"/>
    <w:rsid w:val="0093060D"/>
    <w:rsid w:val="009317F0"/>
    <w:rsid w:val="00931C98"/>
    <w:rsid w:val="00931D82"/>
    <w:rsid w:val="00932E14"/>
    <w:rsid w:val="009331E5"/>
    <w:rsid w:val="009343CE"/>
    <w:rsid w:val="00935E8F"/>
    <w:rsid w:val="0093612B"/>
    <w:rsid w:val="00936451"/>
    <w:rsid w:val="00937FFC"/>
    <w:rsid w:val="00943382"/>
    <w:rsid w:val="00943C18"/>
    <w:rsid w:val="0094513F"/>
    <w:rsid w:val="00945585"/>
    <w:rsid w:val="009457F8"/>
    <w:rsid w:val="009478E8"/>
    <w:rsid w:val="00951257"/>
    <w:rsid w:val="00952D52"/>
    <w:rsid w:val="00956B77"/>
    <w:rsid w:val="00957D3C"/>
    <w:rsid w:val="00960679"/>
    <w:rsid w:val="00960A8D"/>
    <w:rsid w:val="009628EA"/>
    <w:rsid w:val="00962DF2"/>
    <w:rsid w:val="00963522"/>
    <w:rsid w:val="00963AD7"/>
    <w:rsid w:val="00964D86"/>
    <w:rsid w:val="00965DF9"/>
    <w:rsid w:val="00971D95"/>
    <w:rsid w:val="009723A9"/>
    <w:rsid w:val="009732F3"/>
    <w:rsid w:val="0097452A"/>
    <w:rsid w:val="00975554"/>
    <w:rsid w:val="009763B1"/>
    <w:rsid w:val="00980D81"/>
    <w:rsid w:val="00981DC4"/>
    <w:rsid w:val="0098385D"/>
    <w:rsid w:val="0098510A"/>
    <w:rsid w:val="009854A9"/>
    <w:rsid w:val="009855D0"/>
    <w:rsid w:val="009861FC"/>
    <w:rsid w:val="009866FA"/>
    <w:rsid w:val="00987AEF"/>
    <w:rsid w:val="00990168"/>
    <w:rsid w:val="00990539"/>
    <w:rsid w:val="0099171C"/>
    <w:rsid w:val="00995736"/>
    <w:rsid w:val="00995D66"/>
    <w:rsid w:val="00995F60"/>
    <w:rsid w:val="00996DA9"/>
    <w:rsid w:val="009A045C"/>
    <w:rsid w:val="009A1F1F"/>
    <w:rsid w:val="009A44FE"/>
    <w:rsid w:val="009A4921"/>
    <w:rsid w:val="009A5DE8"/>
    <w:rsid w:val="009B077D"/>
    <w:rsid w:val="009B0A9A"/>
    <w:rsid w:val="009B3206"/>
    <w:rsid w:val="009B3370"/>
    <w:rsid w:val="009B34EA"/>
    <w:rsid w:val="009B3D1E"/>
    <w:rsid w:val="009B41EA"/>
    <w:rsid w:val="009B4465"/>
    <w:rsid w:val="009B57B5"/>
    <w:rsid w:val="009B6ABF"/>
    <w:rsid w:val="009B7746"/>
    <w:rsid w:val="009C0B9A"/>
    <w:rsid w:val="009C11CC"/>
    <w:rsid w:val="009C38EB"/>
    <w:rsid w:val="009C3DF3"/>
    <w:rsid w:val="009C4E58"/>
    <w:rsid w:val="009C7BB9"/>
    <w:rsid w:val="009C7FC1"/>
    <w:rsid w:val="009D1510"/>
    <w:rsid w:val="009D1A10"/>
    <w:rsid w:val="009D2FEF"/>
    <w:rsid w:val="009D3D6F"/>
    <w:rsid w:val="009D4D68"/>
    <w:rsid w:val="009D4F70"/>
    <w:rsid w:val="009D59D3"/>
    <w:rsid w:val="009D61C4"/>
    <w:rsid w:val="009E05B3"/>
    <w:rsid w:val="009E1014"/>
    <w:rsid w:val="009E17D9"/>
    <w:rsid w:val="009E1A7F"/>
    <w:rsid w:val="009E2C85"/>
    <w:rsid w:val="009E2E7E"/>
    <w:rsid w:val="009E2EAA"/>
    <w:rsid w:val="009E32F9"/>
    <w:rsid w:val="009E3D48"/>
    <w:rsid w:val="009E4FEF"/>
    <w:rsid w:val="009E5AC7"/>
    <w:rsid w:val="009E5BDB"/>
    <w:rsid w:val="009E6D7C"/>
    <w:rsid w:val="009E7327"/>
    <w:rsid w:val="009E7770"/>
    <w:rsid w:val="009E7A19"/>
    <w:rsid w:val="009F001F"/>
    <w:rsid w:val="009F2F39"/>
    <w:rsid w:val="009F32C3"/>
    <w:rsid w:val="009F3DD9"/>
    <w:rsid w:val="009F4900"/>
    <w:rsid w:val="009F5879"/>
    <w:rsid w:val="009F5C10"/>
    <w:rsid w:val="009F60B7"/>
    <w:rsid w:val="009F7145"/>
    <w:rsid w:val="009F7DB7"/>
    <w:rsid w:val="00A01216"/>
    <w:rsid w:val="00A01C67"/>
    <w:rsid w:val="00A02018"/>
    <w:rsid w:val="00A07537"/>
    <w:rsid w:val="00A07B48"/>
    <w:rsid w:val="00A111AD"/>
    <w:rsid w:val="00A11640"/>
    <w:rsid w:val="00A13924"/>
    <w:rsid w:val="00A13C78"/>
    <w:rsid w:val="00A141A3"/>
    <w:rsid w:val="00A15411"/>
    <w:rsid w:val="00A160B7"/>
    <w:rsid w:val="00A16C6E"/>
    <w:rsid w:val="00A215DA"/>
    <w:rsid w:val="00A216F1"/>
    <w:rsid w:val="00A2238C"/>
    <w:rsid w:val="00A22842"/>
    <w:rsid w:val="00A25330"/>
    <w:rsid w:val="00A25621"/>
    <w:rsid w:val="00A279BF"/>
    <w:rsid w:val="00A3280F"/>
    <w:rsid w:val="00A3669B"/>
    <w:rsid w:val="00A37360"/>
    <w:rsid w:val="00A37772"/>
    <w:rsid w:val="00A40138"/>
    <w:rsid w:val="00A40675"/>
    <w:rsid w:val="00A41680"/>
    <w:rsid w:val="00A41A2D"/>
    <w:rsid w:val="00A428D1"/>
    <w:rsid w:val="00A46814"/>
    <w:rsid w:val="00A500B3"/>
    <w:rsid w:val="00A51580"/>
    <w:rsid w:val="00A516EE"/>
    <w:rsid w:val="00A518A9"/>
    <w:rsid w:val="00A525C3"/>
    <w:rsid w:val="00A5317D"/>
    <w:rsid w:val="00A60D59"/>
    <w:rsid w:val="00A61C65"/>
    <w:rsid w:val="00A61CEA"/>
    <w:rsid w:val="00A63C77"/>
    <w:rsid w:val="00A647F8"/>
    <w:rsid w:val="00A650D8"/>
    <w:rsid w:val="00A660B4"/>
    <w:rsid w:val="00A6664D"/>
    <w:rsid w:val="00A67E20"/>
    <w:rsid w:val="00A67EEC"/>
    <w:rsid w:val="00A70779"/>
    <w:rsid w:val="00A73219"/>
    <w:rsid w:val="00A750DC"/>
    <w:rsid w:val="00A7534B"/>
    <w:rsid w:val="00A76DED"/>
    <w:rsid w:val="00A80165"/>
    <w:rsid w:val="00A81738"/>
    <w:rsid w:val="00A82061"/>
    <w:rsid w:val="00A835EE"/>
    <w:rsid w:val="00A83891"/>
    <w:rsid w:val="00A9079D"/>
    <w:rsid w:val="00A908EE"/>
    <w:rsid w:val="00A94151"/>
    <w:rsid w:val="00A95047"/>
    <w:rsid w:val="00A95FB8"/>
    <w:rsid w:val="00AA1966"/>
    <w:rsid w:val="00AA1A3C"/>
    <w:rsid w:val="00AA2AB2"/>
    <w:rsid w:val="00AA5411"/>
    <w:rsid w:val="00AA7560"/>
    <w:rsid w:val="00AA7A3D"/>
    <w:rsid w:val="00AB0157"/>
    <w:rsid w:val="00AB07DE"/>
    <w:rsid w:val="00AB27CC"/>
    <w:rsid w:val="00AB4110"/>
    <w:rsid w:val="00AB640F"/>
    <w:rsid w:val="00AB7BEE"/>
    <w:rsid w:val="00AC2C1A"/>
    <w:rsid w:val="00AC76A5"/>
    <w:rsid w:val="00AD08E6"/>
    <w:rsid w:val="00AD59B5"/>
    <w:rsid w:val="00AD5EC5"/>
    <w:rsid w:val="00AD7421"/>
    <w:rsid w:val="00AD7BF1"/>
    <w:rsid w:val="00AE4A62"/>
    <w:rsid w:val="00AE6130"/>
    <w:rsid w:val="00AE701B"/>
    <w:rsid w:val="00AE7D58"/>
    <w:rsid w:val="00AF0515"/>
    <w:rsid w:val="00AF0E8C"/>
    <w:rsid w:val="00AF184C"/>
    <w:rsid w:val="00AF267B"/>
    <w:rsid w:val="00AF5BDE"/>
    <w:rsid w:val="00AF6CA5"/>
    <w:rsid w:val="00AF7741"/>
    <w:rsid w:val="00B0138B"/>
    <w:rsid w:val="00B01B6B"/>
    <w:rsid w:val="00B020B8"/>
    <w:rsid w:val="00B02350"/>
    <w:rsid w:val="00B04AAF"/>
    <w:rsid w:val="00B04CEF"/>
    <w:rsid w:val="00B06B1D"/>
    <w:rsid w:val="00B12C3F"/>
    <w:rsid w:val="00B147EC"/>
    <w:rsid w:val="00B176DD"/>
    <w:rsid w:val="00B20423"/>
    <w:rsid w:val="00B25704"/>
    <w:rsid w:val="00B27D69"/>
    <w:rsid w:val="00B33BFE"/>
    <w:rsid w:val="00B36B6E"/>
    <w:rsid w:val="00B36B7E"/>
    <w:rsid w:val="00B378AF"/>
    <w:rsid w:val="00B40417"/>
    <w:rsid w:val="00B41CB3"/>
    <w:rsid w:val="00B421C7"/>
    <w:rsid w:val="00B43E5F"/>
    <w:rsid w:val="00B4412E"/>
    <w:rsid w:val="00B4467E"/>
    <w:rsid w:val="00B44770"/>
    <w:rsid w:val="00B4482F"/>
    <w:rsid w:val="00B44E51"/>
    <w:rsid w:val="00B458C0"/>
    <w:rsid w:val="00B46924"/>
    <w:rsid w:val="00B47ED7"/>
    <w:rsid w:val="00B52BB3"/>
    <w:rsid w:val="00B5343B"/>
    <w:rsid w:val="00B56723"/>
    <w:rsid w:val="00B576EF"/>
    <w:rsid w:val="00B61D08"/>
    <w:rsid w:val="00B62F09"/>
    <w:rsid w:val="00B63A70"/>
    <w:rsid w:val="00B64371"/>
    <w:rsid w:val="00B65818"/>
    <w:rsid w:val="00B66CC6"/>
    <w:rsid w:val="00B71B75"/>
    <w:rsid w:val="00B71E77"/>
    <w:rsid w:val="00B74B6A"/>
    <w:rsid w:val="00B74E51"/>
    <w:rsid w:val="00B75014"/>
    <w:rsid w:val="00B75953"/>
    <w:rsid w:val="00B76D8D"/>
    <w:rsid w:val="00B77EA0"/>
    <w:rsid w:val="00B81A82"/>
    <w:rsid w:val="00B83104"/>
    <w:rsid w:val="00B83776"/>
    <w:rsid w:val="00B8669C"/>
    <w:rsid w:val="00B9112F"/>
    <w:rsid w:val="00B920D0"/>
    <w:rsid w:val="00B933C5"/>
    <w:rsid w:val="00B93AAB"/>
    <w:rsid w:val="00B94955"/>
    <w:rsid w:val="00B9595B"/>
    <w:rsid w:val="00B969DE"/>
    <w:rsid w:val="00B96C07"/>
    <w:rsid w:val="00B96C6A"/>
    <w:rsid w:val="00B9731C"/>
    <w:rsid w:val="00B9756D"/>
    <w:rsid w:val="00BA3A56"/>
    <w:rsid w:val="00BA4F73"/>
    <w:rsid w:val="00BA5CF7"/>
    <w:rsid w:val="00BA6542"/>
    <w:rsid w:val="00BB0C96"/>
    <w:rsid w:val="00BB1369"/>
    <w:rsid w:val="00BB14B6"/>
    <w:rsid w:val="00BB21DD"/>
    <w:rsid w:val="00BB2EDB"/>
    <w:rsid w:val="00BB5927"/>
    <w:rsid w:val="00BC0C2F"/>
    <w:rsid w:val="00BC19AE"/>
    <w:rsid w:val="00BC6C0D"/>
    <w:rsid w:val="00BC73AA"/>
    <w:rsid w:val="00BD0D46"/>
    <w:rsid w:val="00BD1A4C"/>
    <w:rsid w:val="00BD1B66"/>
    <w:rsid w:val="00BD25B7"/>
    <w:rsid w:val="00BD2AC2"/>
    <w:rsid w:val="00BD449E"/>
    <w:rsid w:val="00BD4BD6"/>
    <w:rsid w:val="00BD534A"/>
    <w:rsid w:val="00BD5F0A"/>
    <w:rsid w:val="00BD6AA9"/>
    <w:rsid w:val="00BD7D67"/>
    <w:rsid w:val="00BE06AD"/>
    <w:rsid w:val="00BE455C"/>
    <w:rsid w:val="00BE5BD8"/>
    <w:rsid w:val="00BE5D5C"/>
    <w:rsid w:val="00BE75C4"/>
    <w:rsid w:val="00BF158F"/>
    <w:rsid w:val="00BF47B4"/>
    <w:rsid w:val="00BF5C4B"/>
    <w:rsid w:val="00BF6A63"/>
    <w:rsid w:val="00BF7D65"/>
    <w:rsid w:val="00BF7F21"/>
    <w:rsid w:val="00C00CE9"/>
    <w:rsid w:val="00C01E5F"/>
    <w:rsid w:val="00C02D91"/>
    <w:rsid w:val="00C037EF"/>
    <w:rsid w:val="00C039DA"/>
    <w:rsid w:val="00C06175"/>
    <w:rsid w:val="00C06BAC"/>
    <w:rsid w:val="00C0768E"/>
    <w:rsid w:val="00C10A4F"/>
    <w:rsid w:val="00C12A75"/>
    <w:rsid w:val="00C144FD"/>
    <w:rsid w:val="00C16EF2"/>
    <w:rsid w:val="00C17C43"/>
    <w:rsid w:val="00C20203"/>
    <w:rsid w:val="00C20256"/>
    <w:rsid w:val="00C24333"/>
    <w:rsid w:val="00C24567"/>
    <w:rsid w:val="00C24AD2"/>
    <w:rsid w:val="00C24DA0"/>
    <w:rsid w:val="00C252D5"/>
    <w:rsid w:val="00C254EC"/>
    <w:rsid w:val="00C27882"/>
    <w:rsid w:val="00C30C59"/>
    <w:rsid w:val="00C33A26"/>
    <w:rsid w:val="00C34F4E"/>
    <w:rsid w:val="00C353FC"/>
    <w:rsid w:val="00C35804"/>
    <w:rsid w:val="00C368EB"/>
    <w:rsid w:val="00C4125B"/>
    <w:rsid w:val="00C44680"/>
    <w:rsid w:val="00C44694"/>
    <w:rsid w:val="00C547A9"/>
    <w:rsid w:val="00C575F7"/>
    <w:rsid w:val="00C608C9"/>
    <w:rsid w:val="00C61ACE"/>
    <w:rsid w:val="00C62003"/>
    <w:rsid w:val="00C64B16"/>
    <w:rsid w:val="00C7172D"/>
    <w:rsid w:val="00C71CA2"/>
    <w:rsid w:val="00C7265A"/>
    <w:rsid w:val="00C72AAC"/>
    <w:rsid w:val="00C73B33"/>
    <w:rsid w:val="00C73CD6"/>
    <w:rsid w:val="00C740F5"/>
    <w:rsid w:val="00C746CB"/>
    <w:rsid w:val="00C74ADC"/>
    <w:rsid w:val="00C76ABD"/>
    <w:rsid w:val="00C773D1"/>
    <w:rsid w:val="00C8136F"/>
    <w:rsid w:val="00C81B59"/>
    <w:rsid w:val="00C83A64"/>
    <w:rsid w:val="00C83B04"/>
    <w:rsid w:val="00C84877"/>
    <w:rsid w:val="00C85BD5"/>
    <w:rsid w:val="00C85E8F"/>
    <w:rsid w:val="00C85F12"/>
    <w:rsid w:val="00C9079C"/>
    <w:rsid w:val="00C9243D"/>
    <w:rsid w:val="00C94FE6"/>
    <w:rsid w:val="00C951FB"/>
    <w:rsid w:val="00C95A6F"/>
    <w:rsid w:val="00C96BDF"/>
    <w:rsid w:val="00C96C93"/>
    <w:rsid w:val="00C97AC5"/>
    <w:rsid w:val="00CA1C25"/>
    <w:rsid w:val="00CA2DD3"/>
    <w:rsid w:val="00CA32BE"/>
    <w:rsid w:val="00CA4EC6"/>
    <w:rsid w:val="00CA5927"/>
    <w:rsid w:val="00CB005B"/>
    <w:rsid w:val="00CB2E37"/>
    <w:rsid w:val="00CB3329"/>
    <w:rsid w:val="00CB5599"/>
    <w:rsid w:val="00CB5E96"/>
    <w:rsid w:val="00CB6D3D"/>
    <w:rsid w:val="00CB7262"/>
    <w:rsid w:val="00CB779B"/>
    <w:rsid w:val="00CC3027"/>
    <w:rsid w:val="00CC6398"/>
    <w:rsid w:val="00CD096B"/>
    <w:rsid w:val="00CD0F7C"/>
    <w:rsid w:val="00CD1218"/>
    <w:rsid w:val="00CD42A7"/>
    <w:rsid w:val="00CD4893"/>
    <w:rsid w:val="00CE0761"/>
    <w:rsid w:val="00CE0F85"/>
    <w:rsid w:val="00CE3B73"/>
    <w:rsid w:val="00CE58DE"/>
    <w:rsid w:val="00CE6E31"/>
    <w:rsid w:val="00CE717A"/>
    <w:rsid w:val="00CE7B8B"/>
    <w:rsid w:val="00CE7D20"/>
    <w:rsid w:val="00CF025C"/>
    <w:rsid w:val="00CF0DC6"/>
    <w:rsid w:val="00CF1C86"/>
    <w:rsid w:val="00CF2484"/>
    <w:rsid w:val="00CF2F0D"/>
    <w:rsid w:val="00CF4B48"/>
    <w:rsid w:val="00CF7220"/>
    <w:rsid w:val="00D012C7"/>
    <w:rsid w:val="00D03009"/>
    <w:rsid w:val="00D03808"/>
    <w:rsid w:val="00D03DF9"/>
    <w:rsid w:val="00D0519E"/>
    <w:rsid w:val="00D05B51"/>
    <w:rsid w:val="00D06EEA"/>
    <w:rsid w:val="00D07F51"/>
    <w:rsid w:val="00D1189A"/>
    <w:rsid w:val="00D118AE"/>
    <w:rsid w:val="00D11FDB"/>
    <w:rsid w:val="00D12CA1"/>
    <w:rsid w:val="00D146FB"/>
    <w:rsid w:val="00D15DF4"/>
    <w:rsid w:val="00D171FE"/>
    <w:rsid w:val="00D1763E"/>
    <w:rsid w:val="00D17723"/>
    <w:rsid w:val="00D17DB5"/>
    <w:rsid w:val="00D214D6"/>
    <w:rsid w:val="00D2162E"/>
    <w:rsid w:val="00D23D77"/>
    <w:rsid w:val="00D23F45"/>
    <w:rsid w:val="00D23F95"/>
    <w:rsid w:val="00D249EF"/>
    <w:rsid w:val="00D30676"/>
    <w:rsid w:val="00D310D6"/>
    <w:rsid w:val="00D31859"/>
    <w:rsid w:val="00D34746"/>
    <w:rsid w:val="00D37EB3"/>
    <w:rsid w:val="00D4262F"/>
    <w:rsid w:val="00D42DA8"/>
    <w:rsid w:val="00D43BAF"/>
    <w:rsid w:val="00D45576"/>
    <w:rsid w:val="00D461A2"/>
    <w:rsid w:val="00D46302"/>
    <w:rsid w:val="00D46A8D"/>
    <w:rsid w:val="00D46E0D"/>
    <w:rsid w:val="00D517D1"/>
    <w:rsid w:val="00D528FF"/>
    <w:rsid w:val="00D55710"/>
    <w:rsid w:val="00D6044C"/>
    <w:rsid w:val="00D61838"/>
    <w:rsid w:val="00D62AC1"/>
    <w:rsid w:val="00D62ED4"/>
    <w:rsid w:val="00D6335A"/>
    <w:rsid w:val="00D71C11"/>
    <w:rsid w:val="00D71EE4"/>
    <w:rsid w:val="00D75334"/>
    <w:rsid w:val="00D77F94"/>
    <w:rsid w:val="00D807E9"/>
    <w:rsid w:val="00D82D5E"/>
    <w:rsid w:val="00D8397C"/>
    <w:rsid w:val="00D84433"/>
    <w:rsid w:val="00D87357"/>
    <w:rsid w:val="00D91679"/>
    <w:rsid w:val="00D92DE8"/>
    <w:rsid w:val="00D9392B"/>
    <w:rsid w:val="00D9394A"/>
    <w:rsid w:val="00D949A4"/>
    <w:rsid w:val="00DA0743"/>
    <w:rsid w:val="00DA1FB0"/>
    <w:rsid w:val="00DA365B"/>
    <w:rsid w:val="00DA5273"/>
    <w:rsid w:val="00DA6E0F"/>
    <w:rsid w:val="00DB1A7F"/>
    <w:rsid w:val="00DB4EF2"/>
    <w:rsid w:val="00DC0E5E"/>
    <w:rsid w:val="00DC6094"/>
    <w:rsid w:val="00DC6843"/>
    <w:rsid w:val="00DC7C15"/>
    <w:rsid w:val="00DC7CDE"/>
    <w:rsid w:val="00DC7E6E"/>
    <w:rsid w:val="00DD1960"/>
    <w:rsid w:val="00DD2074"/>
    <w:rsid w:val="00DD34CB"/>
    <w:rsid w:val="00DD41D4"/>
    <w:rsid w:val="00DD4C92"/>
    <w:rsid w:val="00DD6E1B"/>
    <w:rsid w:val="00DE0A8F"/>
    <w:rsid w:val="00DE132E"/>
    <w:rsid w:val="00DE198C"/>
    <w:rsid w:val="00DE25D8"/>
    <w:rsid w:val="00DE3C98"/>
    <w:rsid w:val="00DE5349"/>
    <w:rsid w:val="00DF36EC"/>
    <w:rsid w:val="00DF3B93"/>
    <w:rsid w:val="00DF42F0"/>
    <w:rsid w:val="00DF5206"/>
    <w:rsid w:val="00DF63F4"/>
    <w:rsid w:val="00E0063B"/>
    <w:rsid w:val="00E00FC3"/>
    <w:rsid w:val="00E02A10"/>
    <w:rsid w:val="00E02A65"/>
    <w:rsid w:val="00E02F43"/>
    <w:rsid w:val="00E04106"/>
    <w:rsid w:val="00E05662"/>
    <w:rsid w:val="00E1039D"/>
    <w:rsid w:val="00E11C17"/>
    <w:rsid w:val="00E11C5A"/>
    <w:rsid w:val="00E120AD"/>
    <w:rsid w:val="00E12FB0"/>
    <w:rsid w:val="00E14FA8"/>
    <w:rsid w:val="00E15EE0"/>
    <w:rsid w:val="00E162CC"/>
    <w:rsid w:val="00E1676C"/>
    <w:rsid w:val="00E215ED"/>
    <w:rsid w:val="00E23BD5"/>
    <w:rsid w:val="00E23D62"/>
    <w:rsid w:val="00E24DAC"/>
    <w:rsid w:val="00E2537D"/>
    <w:rsid w:val="00E279ED"/>
    <w:rsid w:val="00E30844"/>
    <w:rsid w:val="00E31951"/>
    <w:rsid w:val="00E3299C"/>
    <w:rsid w:val="00E36149"/>
    <w:rsid w:val="00E372C8"/>
    <w:rsid w:val="00E37BE1"/>
    <w:rsid w:val="00E37CEC"/>
    <w:rsid w:val="00E4063E"/>
    <w:rsid w:val="00E40BC3"/>
    <w:rsid w:val="00E457C4"/>
    <w:rsid w:val="00E50737"/>
    <w:rsid w:val="00E5216C"/>
    <w:rsid w:val="00E545CB"/>
    <w:rsid w:val="00E55B8B"/>
    <w:rsid w:val="00E619ED"/>
    <w:rsid w:val="00E638C5"/>
    <w:rsid w:val="00E65FC3"/>
    <w:rsid w:val="00E67461"/>
    <w:rsid w:val="00E67865"/>
    <w:rsid w:val="00E67D74"/>
    <w:rsid w:val="00E707E9"/>
    <w:rsid w:val="00E70862"/>
    <w:rsid w:val="00E71831"/>
    <w:rsid w:val="00E72AA0"/>
    <w:rsid w:val="00E7343C"/>
    <w:rsid w:val="00E75D5F"/>
    <w:rsid w:val="00E76A39"/>
    <w:rsid w:val="00E77BB6"/>
    <w:rsid w:val="00E804D3"/>
    <w:rsid w:val="00E81AF9"/>
    <w:rsid w:val="00E820B8"/>
    <w:rsid w:val="00E82EB6"/>
    <w:rsid w:val="00E845F3"/>
    <w:rsid w:val="00E8488F"/>
    <w:rsid w:val="00E860CB"/>
    <w:rsid w:val="00E860E4"/>
    <w:rsid w:val="00E86A85"/>
    <w:rsid w:val="00E86C3E"/>
    <w:rsid w:val="00E87068"/>
    <w:rsid w:val="00E875F7"/>
    <w:rsid w:val="00E87A2D"/>
    <w:rsid w:val="00E9136D"/>
    <w:rsid w:val="00E92A50"/>
    <w:rsid w:val="00E92D68"/>
    <w:rsid w:val="00E95534"/>
    <w:rsid w:val="00EA0355"/>
    <w:rsid w:val="00EA0FEE"/>
    <w:rsid w:val="00EA22E1"/>
    <w:rsid w:val="00EA2300"/>
    <w:rsid w:val="00EA256A"/>
    <w:rsid w:val="00EA3066"/>
    <w:rsid w:val="00EA37E9"/>
    <w:rsid w:val="00EA3C52"/>
    <w:rsid w:val="00EA596A"/>
    <w:rsid w:val="00EB43CB"/>
    <w:rsid w:val="00EB452F"/>
    <w:rsid w:val="00EB53A0"/>
    <w:rsid w:val="00EB6AFB"/>
    <w:rsid w:val="00EB6CDA"/>
    <w:rsid w:val="00EB73BF"/>
    <w:rsid w:val="00EC0835"/>
    <w:rsid w:val="00EC109E"/>
    <w:rsid w:val="00EC1270"/>
    <w:rsid w:val="00EC3F9E"/>
    <w:rsid w:val="00EC57B2"/>
    <w:rsid w:val="00EC5801"/>
    <w:rsid w:val="00EC6892"/>
    <w:rsid w:val="00EC6989"/>
    <w:rsid w:val="00EC72C8"/>
    <w:rsid w:val="00EC78A2"/>
    <w:rsid w:val="00ED1593"/>
    <w:rsid w:val="00ED2A85"/>
    <w:rsid w:val="00ED2C3C"/>
    <w:rsid w:val="00ED2EB7"/>
    <w:rsid w:val="00ED42B3"/>
    <w:rsid w:val="00ED5485"/>
    <w:rsid w:val="00ED6E49"/>
    <w:rsid w:val="00EE1371"/>
    <w:rsid w:val="00EE3850"/>
    <w:rsid w:val="00EE561B"/>
    <w:rsid w:val="00EE7650"/>
    <w:rsid w:val="00EE79B7"/>
    <w:rsid w:val="00EF1061"/>
    <w:rsid w:val="00EF2BB4"/>
    <w:rsid w:val="00EF3A5D"/>
    <w:rsid w:val="00EF4664"/>
    <w:rsid w:val="00EF5BB8"/>
    <w:rsid w:val="00EF7C31"/>
    <w:rsid w:val="00F003A5"/>
    <w:rsid w:val="00F018AF"/>
    <w:rsid w:val="00F02ECA"/>
    <w:rsid w:val="00F039A5"/>
    <w:rsid w:val="00F0426C"/>
    <w:rsid w:val="00F04A26"/>
    <w:rsid w:val="00F06156"/>
    <w:rsid w:val="00F075F5"/>
    <w:rsid w:val="00F102D6"/>
    <w:rsid w:val="00F10DF1"/>
    <w:rsid w:val="00F10F60"/>
    <w:rsid w:val="00F1119E"/>
    <w:rsid w:val="00F1264F"/>
    <w:rsid w:val="00F12ADD"/>
    <w:rsid w:val="00F13BCC"/>
    <w:rsid w:val="00F13DEF"/>
    <w:rsid w:val="00F14E61"/>
    <w:rsid w:val="00F16EBD"/>
    <w:rsid w:val="00F17535"/>
    <w:rsid w:val="00F20EFA"/>
    <w:rsid w:val="00F21F46"/>
    <w:rsid w:val="00F2219E"/>
    <w:rsid w:val="00F23A6F"/>
    <w:rsid w:val="00F250F6"/>
    <w:rsid w:val="00F255C1"/>
    <w:rsid w:val="00F257EC"/>
    <w:rsid w:val="00F2698A"/>
    <w:rsid w:val="00F26F6B"/>
    <w:rsid w:val="00F30129"/>
    <w:rsid w:val="00F31C7B"/>
    <w:rsid w:val="00F37303"/>
    <w:rsid w:val="00F40C7D"/>
    <w:rsid w:val="00F41D4E"/>
    <w:rsid w:val="00F42720"/>
    <w:rsid w:val="00F42FB0"/>
    <w:rsid w:val="00F430B8"/>
    <w:rsid w:val="00F45F9C"/>
    <w:rsid w:val="00F462FB"/>
    <w:rsid w:val="00F471FA"/>
    <w:rsid w:val="00F47970"/>
    <w:rsid w:val="00F50E11"/>
    <w:rsid w:val="00F51492"/>
    <w:rsid w:val="00F57B74"/>
    <w:rsid w:val="00F61580"/>
    <w:rsid w:val="00F62A5A"/>
    <w:rsid w:val="00F63B1A"/>
    <w:rsid w:val="00F65B30"/>
    <w:rsid w:val="00F66BE6"/>
    <w:rsid w:val="00F70677"/>
    <w:rsid w:val="00F72612"/>
    <w:rsid w:val="00F73E99"/>
    <w:rsid w:val="00F74E3B"/>
    <w:rsid w:val="00F76E41"/>
    <w:rsid w:val="00F77283"/>
    <w:rsid w:val="00F83604"/>
    <w:rsid w:val="00F853C5"/>
    <w:rsid w:val="00F86597"/>
    <w:rsid w:val="00F90E4B"/>
    <w:rsid w:val="00F92381"/>
    <w:rsid w:val="00F92751"/>
    <w:rsid w:val="00F94B0C"/>
    <w:rsid w:val="00F951DE"/>
    <w:rsid w:val="00FA127B"/>
    <w:rsid w:val="00FA448F"/>
    <w:rsid w:val="00FA5311"/>
    <w:rsid w:val="00FA5A1B"/>
    <w:rsid w:val="00FA76D4"/>
    <w:rsid w:val="00FB03F5"/>
    <w:rsid w:val="00FB1B91"/>
    <w:rsid w:val="00FB265F"/>
    <w:rsid w:val="00FB3B05"/>
    <w:rsid w:val="00FB4678"/>
    <w:rsid w:val="00FB4C32"/>
    <w:rsid w:val="00FB4F64"/>
    <w:rsid w:val="00FB5188"/>
    <w:rsid w:val="00FB5A3A"/>
    <w:rsid w:val="00FB5B8C"/>
    <w:rsid w:val="00FB5CFF"/>
    <w:rsid w:val="00FC1914"/>
    <w:rsid w:val="00FC30C0"/>
    <w:rsid w:val="00FC33F3"/>
    <w:rsid w:val="00FC3EC9"/>
    <w:rsid w:val="00FC5866"/>
    <w:rsid w:val="00FC718A"/>
    <w:rsid w:val="00FC72D0"/>
    <w:rsid w:val="00FC7A61"/>
    <w:rsid w:val="00FD1739"/>
    <w:rsid w:val="00FD1912"/>
    <w:rsid w:val="00FD2386"/>
    <w:rsid w:val="00FD31C0"/>
    <w:rsid w:val="00FD4092"/>
    <w:rsid w:val="00FD657A"/>
    <w:rsid w:val="00FD674D"/>
    <w:rsid w:val="00FE29F3"/>
    <w:rsid w:val="00FE2AB4"/>
    <w:rsid w:val="00FE2CFD"/>
    <w:rsid w:val="00FE5752"/>
    <w:rsid w:val="00FE5A1D"/>
    <w:rsid w:val="00FE63AA"/>
    <w:rsid w:val="00FF07B5"/>
    <w:rsid w:val="00FF112A"/>
    <w:rsid w:val="00FF3C0F"/>
    <w:rsid w:val="00FF4A37"/>
    <w:rsid w:val="00FF598C"/>
    <w:rsid w:val="00FF5B57"/>
    <w:rsid w:val="00FF6C8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51206F2"/>
  <w15:docId w15:val="{F71F3173-7F17-401E-AAA7-E0E4ABF0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CF"/>
  </w:style>
  <w:style w:type="paragraph" w:styleId="Ttulo1">
    <w:name w:val="heading 1"/>
    <w:basedOn w:val="Normal"/>
    <w:next w:val="Normal"/>
    <w:link w:val="Ttulo1Car"/>
    <w:uiPriority w:val="9"/>
    <w:qFormat/>
    <w:rsid w:val="009E2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D42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2D2"/>
  </w:style>
  <w:style w:type="paragraph" w:styleId="Piedepgina">
    <w:name w:val="footer"/>
    <w:basedOn w:val="Normal"/>
    <w:link w:val="Piedepgina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2D2"/>
  </w:style>
  <w:style w:type="paragraph" w:styleId="Textodeglobo">
    <w:name w:val="Balloon Text"/>
    <w:basedOn w:val="Normal"/>
    <w:link w:val="TextodegloboCar"/>
    <w:uiPriority w:val="99"/>
    <w:semiHidden/>
    <w:unhideWhenUsed/>
    <w:rsid w:val="000D42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2D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D42D2"/>
    <w:rPr>
      <w:rFonts w:ascii="Times" w:hAnsi="Times"/>
      <w:b/>
      <w:bCs/>
      <w:sz w:val="36"/>
      <w:szCs w:val="36"/>
    </w:rPr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uiPriority w:val="99"/>
    <w:semiHidden/>
    <w:unhideWhenUsed/>
    <w:qFormat/>
    <w:rsid w:val="000D4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D42D2"/>
    <w:rPr>
      <w:b/>
      <w:bCs/>
    </w:rPr>
  </w:style>
  <w:style w:type="character" w:customStyle="1" w:styleId="apple-converted-space">
    <w:name w:val="apple-converted-space"/>
    <w:basedOn w:val="Fuentedeprrafopredeter"/>
    <w:rsid w:val="000D42D2"/>
  </w:style>
  <w:style w:type="paragraph" w:customStyle="1" w:styleId="Standard">
    <w:name w:val="Standard"/>
    <w:rsid w:val="001574A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zh-CN"/>
    </w:rPr>
  </w:style>
  <w:style w:type="table" w:styleId="Tablaconcuadrcula">
    <w:name w:val="Table Grid"/>
    <w:basedOn w:val="Tablanormal"/>
    <w:uiPriority w:val="39"/>
    <w:rsid w:val="00764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51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2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l">
    <w:name w:val="il"/>
    <w:basedOn w:val="Fuentedeprrafopredeter"/>
    <w:rsid w:val="00BB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7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76F7237-08F9-4D0F-A8D7-AB30E633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3</Pages>
  <Words>1162</Words>
  <Characters>6392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Cielo Natalia Londoño Vela</cp:lastModifiedBy>
  <cp:revision>34</cp:revision>
  <cp:lastPrinted>2017-02-23T16:56:00Z</cp:lastPrinted>
  <dcterms:created xsi:type="dcterms:W3CDTF">2020-10-23T20:38:00Z</dcterms:created>
  <dcterms:modified xsi:type="dcterms:W3CDTF">2020-12-16T20:15:00Z</dcterms:modified>
</cp:coreProperties>
</file>