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0C01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5255668B" w14:textId="77777777" w:rsidR="00DF3B93" w:rsidRPr="003C58A7" w:rsidRDefault="00873972" w:rsidP="00DF3B9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412D82">
        <w:rPr>
          <w:rFonts w:ascii="Verdana" w:hAnsi="Verdana"/>
          <w:b/>
          <w:sz w:val="22"/>
          <w:szCs w:val="20"/>
        </w:rPr>
        <w:t>29 de febrero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314BB6B7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0"/>
        <w:gridCol w:w="6528"/>
      </w:tblGrid>
      <w:tr w:rsidR="00796CA4" w:rsidRPr="003C58A7" w14:paraId="43519A13" w14:textId="77777777" w:rsidTr="00FC7A61">
        <w:tc>
          <w:tcPr>
            <w:tcW w:w="0" w:type="auto"/>
            <w:shd w:val="clear" w:color="auto" w:fill="auto"/>
          </w:tcPr>
          <w:p w14:paraId="40AD6A9D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57DFE499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796CA4" w:rsidRPr="003C58A7" w14:paraId="23D4EBF7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2C90923C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4146DEA4" w14:textId="77777777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4FE6">
              <w:rPr>
                <w:rFonts w:ascii="Verdana" w:hAnsi="Verdana"/>
                <w:sz w:val="20"/>
                <w:szCs w:val="20"/>
              </w:rPr>
              <w:t>9.489,5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B93">
              <w:rPr>
                <w:rFonts w:ascii="Verdana" w:hAnsi="Verdana"/>
                <w:sz w:val="20"/>
                <w:szCs w:val="20"/>
              </w:rPr>
              <w:t>62.956,0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C94FE6">
              <w:rPr>
                <w:rFonts w:ascii="Verdana" w:hAnsi="Verdana"/>
                <w:sz w:val="20"/>
                <w:szCs w:val="20"/>
              </w:rPr>
              <w:t>15,07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56D8010F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AD813B" w14:textId="77777777" w:rsidR="00BF5C4B" w:rsidRPr="00F14E61" w:rsidRDefault="00A67EEC" w:rsidP="006D212E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C58A7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412D82">
              <w:rPr>
                <w:rFonts w:ascii="Verdana" w:hAnsi="Verdana"/>
                <w:sz w:val="20"/>
                <w:szCs w:val="20"/>
              </w:rPr>
              <w:t>29 de febrero</w:t>
            </w:r>
            <w:r w:rsidR="00586E06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7E9">
              <w:rPr>
                <w:rFonts w:ascii="Verdana" w:hAnsi="Verdana"/>
                <w:sz w:val="20"/>
                <w:szCs w:val="20"/>
              </w:rPr>
              <w:t>de 20</w:t>
            </w:r>
            <w:r w:rsidR="002A3D8F">
              <w:rPr>
                <w:rFonts w:ascii="Verdana" w:hAnsi="Verdana"/>
                <w:sz w:val="20"/>
                <w:szCs w:val="20"/>
              </w:rPr>
              <w:t>20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C94FE6">
              <w:rPr>
                <w:rFonts w:ascii="Verdana" w:hAnsi="Verdana"/>
                <w:sz w:val="20"/>
                <w:szCs w:val="20"/>
              </w:rPr>
              <w:t>15,07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C94FE6">
              <w:rPr>
                <w:rFonts w:ascii="Verdana" w:hAnsi="Verdana"/>
                <w:sz w:val="20"/>
                <w:szCs w:val="20"/>
              </w:rPr>
              <w:t>9.489</w:t>
            </w:r>
            <w:r w:rsidR="002A3D8F">
              <w:rPr>
                <w:rFonts w:ascii="Verdana" w:hAnsi="Verdana"/>
                <w:sz w:val="20"/>
                <w:szCs w:val="20"/>
              </w:rPr>
              <w:t>,</w:t>
            </w:r>
            <w:r w:rsidR="00C94FE6">
              <w:rPr>
                <w:rFonts w:ascii="Verdana" w:hAnsi="Verdana"/>
                <w:sz w:val="20"/>
                <w:szCs w:val="20"/>
              </w:rPr>
              <w:t>5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millo</w:t>
            </w:r>
            <w:r w:rsidR="00733F8C" w:rsidRPr="003C58A7">
              <w:rPr>
                <w:rFonts w:ascii="Verdana" w:hAnsi="Verdana"/>
                <w:sz w:val="20"/>
                <w:szCs w:val="20"/>
              </w:rPr>
              <w:t xml:space="preserve">nes, frente a una meta del </w:t>
            </w:r>
            <w:r w:rsidR="00C94FE6">
              <w:rPr>
                <w:rFonts w:ascii="Verdana" w:hAnsi="Verdana"/>
                <w:sz w:val="20"/>
                <w:szCs w:val="20"/>
              </w:rPr>
              <w:t>13,89%, con un Superávit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C94FE6">
              <w:rPr>
                <w:rFonts w:ascii="Verdana" w:hAnsi="Verdana"/>
                <w:sz w:val="20"/>
                <w:szCs w:val="20"/>
              </w:rPr>
              <w:t>747</w:t>
            </w:r>
            <w:r w:rsidR="002A3D8F">
              <w:rPr>
                <w:rFonts w:ascii="Verdana" w:hAnsi="Verdana"/>
                <w:sz w:val="20"/>
                <w:szCs w:val="20"/>
              </w:rPr>
              <w:t>,</w:t>
            </w:r>
            <w:r w:rsidR="00C94FE6">
              <w:rPr>
                <w:rFonts w:ascii="Verdana" w:hAnsi="Verdana"/>
                <w:sz w:val="20"/>
                <w:szCs w:val="20"/>
              </w:rPr>
              <w:t>2</w:t>
            </w:r>
            <w:r w:rsidR="003725D8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millones, el cual se explica de la siguiente manera: </w:t>
            </w:r>
            <w:r w:rsidRPr="009331E5">
              <w:rPr>
                <w:rFonts w:ascii="Verdana" w:hAnsi="Verdana"/>
                <w:b/>
                <w:sz w:val="20"/>
                <w:szCs w:val="20"/>
                <w:u w:val="single"/>
              </w:rPr>
              <w:t>A) Gastos de funcionamiento:</w:t>
            </w: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>Déficit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570CDD">
              <w:rPr>
                <w:rFonts w:ascii="Verdana" w:hAnsi="Verdana"/>
                <w:iCs/>
                <w:sz w:val="20"/>
                <w:szCs w:val="20"/>
                <w:lang w:val="es-ES"/>
              </w:rPr>
              <w:t>5,2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debido a que la planta de personal de la agencia no se encuentra con su cupo total. 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874665">
              <w:rPr>
                <w:rFonts w:ascii="Verdana" w:hAnsi="Verdana" w:cs="Arial"/>
                <w:sz w:val="20"/>
                <w:szCs w:val="20"/>
              </w:rPr>
              <w:t xml:space="preserve">Superávit </w:t>
            </w:r>
            <w:r w:rsidR="00874665" w:rsidRPr="00902BE7">
              <w:rPr>
                <w:rFonts w:ascii="Verdana" w:hAnsi="Verdana" w:cs="Arial"/>
                <w:sz w:val="20"/>
                <w:szCs w:val="20"/>
              </w:rPr>
              <w:t xml:space="preserve">en adquisición de bienes y servicios por </w:t>
            </w:r>
            <w:r w:rsidR="00570CDD">
              <w:rPr>
                <w:rFonts w:ascii="Verdana" w:hAnsi="Verdana" w:cs="Arial"/>
                <w:sz w:val="20"/>
                <w:szCs w:val="20"/>
              </w:rPr>
              <w:t>15,0</w:t>
            </w:r>
            <w:r w:rsidR="0087466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74665" w:rsidRPr="00902BE7">
              <w:rPr>
                <w:rFonts w:ascii="Verdana" w:hAnsi="Verdana" w:cs="Arial"/>
                <w:sz w:val="20"/>
                <w:szCs w:val="20"/>
              </w:rPr>
              <w:t>millones,</w:t>
            </w:r>
            <w:r w:rsidR="00874665">
              <w:rPr>
                <w:rFonts w:ascii="Verdana" w:hAnsi="Verdana" w:cs="Arial"/>
                <w:sz w:val="20"/>
                <w:szCs w:val="20"/>
              </w:rPr>
              <w:t xml:space="preserve"> se cumplió la meta.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3)superávit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la ejecución de transferencias corrientes por </w:t>
            </w:r>
            <w:r w:rsidR="00B4482F">
              <w:rPr>
                <w:rFonts w:ascii="Verdana" w:hAnsi="Verdana" w:cs="Arial"/>
                <w:sz w:val="20"/>
                <w:szCs w:val="20"/>
              </w:rPr>
              <w:t>1.612</w:t>
            </w:r>
            <w:r w:rsidR="0018636A">
              <w:rPr>
                <w:rFonts w:ascii="Verdana" w:hAnsi="Verdana" w:cs="Arial"/>
                <w:sz w:val="20"/>
                <w:szCs w:val="20"/>
              </w:rPr>
              <w:t>,</w:t>
            </w:r>
            <w:r w:rsidR="00B4482F">
              <w:rPr>
                <w:rFonts w:ascii="Verdana" w:hAnsi="Verdana" w:cs="Arial"/>
                <w:sz w:val="20"/>
                <w:szCs w:val="20"/>
              </w:rPr>
              <w:t>0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470513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B4482F">
              <w:rPr>
                <w:rFonts w:ascii="Verdana" w:hAnsi="Verdana" w:cs="Arial"/>
                <w:sz w:val="20"/>
                <w:szCs w:val="20"/>
              </w:rPr>
              <w:t>1.615,4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 </w:t>
            </w:r>
            <w:r w:rsidR="00B4482F">
              <w:rPr>
                <w:rFonts w:ascii="Verdana" w:hAnsi="Verdana" w:cs="Arial"/>
                <w:sz w:val="20"/>
                <w:szCs w:val="20"/>
              </w:rPr>
              <w:t xml:space="preserve">que se registró el Convenio con FUNDAPANCA y se tenía previsto para el mes de marzo </w:t>
            </w:r>
            <w:r w:rsidR="00470513">
              <w:rPr>
                <w:rFonts w:ascii="Verdana" w:hAnsi="Verdana" w:cs="Arial"/>
                <w:sz w:val="20"/>
                <w:szCs w:val="20"/>
              </w:rPr>
              <w:t>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déficit  de </w:t>
            </w:r>
            <w:r w:rsidR="009F2F39">
              <w:rPr>
                <w:rFonts w:ascii="Verdana" w:hAnsi="Verdana" w:cs="Arial"/>
                <w:sz w:val="20"/>
                <w:szCs w:val="20"/>
              </w:rPr>
              <w:t xml:space="preserve">3,5 </w:t>
            </w:r>
            <w:r w:rsidR="003353FB">
              <w:rPr>
                <w:rFonts w:ascii="Verdana" w:hAnsi="Verdana" w:cs="Arial"/>
                <w:sz w:val="20"/>
                <w:szCs w:val="20"/>
              </w:rPr>
              <w:t>millones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aunque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es 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9243D" w:rsidRPr="00F14E61">
              <w:rPr>
                <w:rFonts w:ascii="Verdana" w:hAnsi="Verdana" w:cs="Arial"/>
                <w:sz w:val="20"/>
                <w:szCs w:val="20"/>
              </w:rPr>
              <w:t>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 w:rsidR="00874665" w:rsidRPr="00F14E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14E61">
              <w:rPr>
                <w:rFonts w:ascii="Verdana" w:hAnsi="Verdana"/>
                <w:b/>
                <w:sz w:val="20"/>
                <w:szCs w:val="20"/>
                <w:u w:val="single"/>
              </w:rPr>
              <w:t>B) Gastos de inversión:</w:t>
            </w:r>
            <w:r w:rsidRPr="00F14E61">
              <w:rPr>
                <w:rFonts w:ascii="Verdana" w:hAnsi="Verdana"/>
                <w:sz w:val="20"/>
                <w:szCs w:val="20"/>
              </w:rPr>
              <w:t xml:space="preserve"> 1) La ejecución en inversión tiene déficit de </w:t>
            </w:r>
            <w:r w:rsidR="00FF112A" w:rsidRPr="00F14E61">
              <w:rPr>
                <w:rFonts w:ascii="Verdana" w:hAnsi="Verdana"/>
                <w:sz w:val="20"/>
                <w:szCs w:val="20"/>
              </w:rPr>
              <w:t>874,5</w:t>
            </w:r>
            <w:r w:rsidR="00ED1593" w:rsidRPr="00F14E61">
              <w:rPr>
                <w:rFonts w:ascii="Verdana" w:hAnsi="Verdana"/>
                <w:sz w:val="20"/>
                <w:szCs w:val="20"/>
              </w:rPr>
              <w:t xml:space="preserve"> millones debido a </w:t>
            </w:r>
            <w:r w:rsidR="00EA37E9" w:rsidRPr="00F14E61">
              <w:rPr>
                <w:rFonts w:ascii="Verdana" w:hAnsi="Verdana"/>
                <w:sz w:val="20"/>
                <w:szCs w:val="20"/>
              </w:rPr>
              <w:t>que el proyecto “</w:t>
            </w:r>
            <w:r w:rsidR="00EA37E9" w:rsidRPr="00F14E61">
              <w:rPr>
                <w:rFonts w:ascii="Verdana" w:hAnsi="Verdana" w:cs="Arial"/>
                <w:sz w:val="20"/>
                <w:szCs w:val="20"/>
              </w:rPr>
              <w:t xml:space="preserve">Estrategia regional de emprendimiento” financiado con recursos  donados por La Unión Europea, presenta un retraso de ejecución debido que </w:t>
            </w:r>
            <w:r w:rsidR="00737395" w:rsidRPr="00F14E61">
              <w:rPr>
                <w:rFonts w:ascii="Verdana" w:hAnsi="Verdana" w:cs="Arial"/>
                <w:sz w:val="20"/>
                <w:szCs w:val="20"/>
              </w:rPr>
              <w:t>los recursos no se han desembolsado</w:t>
            </w:r>
            <w:r w:rsidR="00EA37E9" w:rsidRPr="00F14E61">
              <w:rPr>
                <w:rFonts w:ascii="Verdana" w:hAnsi="Verdana"/>
                <w:sz w:val="20"/>
                <w:szCs w:val="20"/>
              </w:rPr>
              <w:t xml:space="preserve"> y </w:t>
            </w:r>
            <w:r w:rsidR="00BA6542" w:rsidRPr="00F14E61">
              <w:rPr>
                <w:rFonts w:ascii="Verdana" w:hAnsi="Verdana"/>
                <w:sz w:val="20"/>
                <w:szCs w:val="20"/>
              </w:rPr>
              <w:t>no se realizaron los contratos que tenían previsto</w:t>
            </w:r>
            <w:r w:rsidR="00EA37E9" w:rsidRPr="00F14E61">
              <w:rPr>
                <w:rFonts w:ascii="Verdana" w:hAnsi="Verdana"/>
                <w:sz w:val="20"/>
                <w:szCs w:val="20"/>
              </w:rPr>
              <w:t>s</w:t>
            </w:r>
            <w:r w:rsidR="00737395" w:rsidRPr="00F14E61">
              <w:rPr>
                <w:rFonts w:ascii="Verdana" w:hAnsi="Verdana"/>
                <w:sz w:val="20"/>
                <w:szCs w:val="20"/>
              </w:rPr>
              <w:t xml:space="preserve"> con el proyecto de </w:t>
            </w:r>
            <w:r w:rsidR="00BA6542" w:rsidRPr="00F14E61">
              <w:rPr>
                <w:rFonts w:ascii="Verdana" w:hAnsi="Verdana"/>
                <w:sz w:val="20"/>
                <w:szCs w:val="20"/>
              </w:rPr>
              <w:t xml:space="preserve"> Unesco.</w:t>
            </w:r>
          </w:p>
          <w:p w14:paraId="164373AD" w14:textId="77777777" w:rsidR="00E279ED" w:rsidRDefault="00E279ED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B97303" w14:textId="2673AF5A" w:rsidR="00464CE7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A41A2D">
              <w:rPr>
                <w:rFonts w:ascii="Verdana" w:hAnsi="Verdana"/>
                <w:sz w:val="20"/>
              </w:rPr>
              <w:t xml:space="preserve">El </w:t>
            </w:r>
            <w:r w:rsidR="00621D6C">
              <w:rPr>
                <w:rFonts w:ascii="Verdana" w:hAnsi="Verdana"/>
                <w:sz w:val="20"/>
              </w:rPr>
              <w:t>25,50</w:t>
            </w:r>
            <w:r w:rsidRPr="00A41A2D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BA6542">
              <w:rPr>
                <w:rFonts w:ascii="Verdana" w:hAnsi="Verdana"/>
                <w:sz w:val="20"/>
              </w:rPr>
              <w:t>6,</w:t>
            </w:r>
            <w:r w:rsidR="00621D6C">
              <w:rPr>
                <w:rFonts w:ascii="Verdana" w:hAnsi="Verdana"/>
                <w:sz w:val="20"/>
              </w:rPr>
              <w:t>25</w:t>
            </w:r>
            <w:r w:rsidRPr="00A41A2D">
              <w:rPr>
                <w:rFonts w:ascii="Verdana" w:hAnsi="Verdana"/>
                <w:sz w:val="20"/>
              </w:rPr>
              <w:t>% a los gastos de inversión.</w:t>
            </w:r>
          </w:p>
          <w:p w14:paraId="497E18A6" w14:textId="77777777" w:rsidR="00E279ED" w:rsidRPr="004D5B1A" w:rsidRDefault="00E279E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5847AFD" w14:textId="77777777" w:rsidR="00A67EEC" w:rsidRPr="004D5B1A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D5B1A">
              <w:rPr>
                <w:rFonts w:ascii="Verdana" w:hAnsi="Verdana"/>
                <w:sz w:val="20"/>
                <w:szCs w:val="20"/>
              </w:rPr>
              <w:t xml:space="preserve">La ejecución de los gastos de funcionamiento estuvo distribuida de la siguiente manera: </w:t>
            </w:r>
            <w:bookmarkStart w:id="0" w:name="_GoBack"/>
            <w:bookmarkEnd w:id="0"/>
          </w:p>
          <w:p w14:paraId="466EF7DA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2A274C06" w14:textId="77777777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BA6542">
              <w:rPr>
                <w:rFonts w:ascii="Verdana" w:hAnsi="Verdana" w:cs="Arial"/>
                <w:sz w:val="20"/>
                <w:szCs w:val="20"/>
              </w:rPr>
              <w:t>14,02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09C5640" w14:textId="77777777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BA6542">
              <w:rPr>
                <w:rFonts w:ascii="Verdana" w:hAnsi="Verdana" w:cs="Arial"/>
                <w:sz w:val="20"/>
                <w:szCs w:val="20"/>
              </w:rPr>
              <w:t>62,09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8A5A772" w14:textId="77777777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3) Los gastos de transferencias corrientes representan el </w:t>
            </w:r>
            <w:r w:rsidR="00BA6542">
              <w:rPr>
                <w:rFonts w:ascii="Verdana" w:hAnsi="Verdana" w:cs="Arial"/>
                <w:sz w:val="20"/>
                <w:szCs w:val="20"/>
              </w:rPr>
              <w:t>23,42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BA6542">
              <w:rPr>
                <w:rFonts w:ascii="Verdana" w:hAnsi="Verdana" w:cs="Arial"/>
                <w:sz w:val="20"/>
                <w:szCs w:val="20"/>
              </w:rPr>
              <w:t>23,41</w:t>
            </w:r>
            <w:r w:rsidRPr="000139BE">
              <w:rPr>
                <w:rFonts w:ascii="Verdana" w:hAnsi="Verdana" w:cs="Arial"/>
                <w:sz w:val="20"/>
                <w:szCs w:val="20"/>
              </w:rPr>
              <w:t>% correspondientes a gastos del Fondo de Cooperación y Asistencia Internacional – FOCAI Y el 0,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BA6542">
              <w:rPr>
                <w:rFonts w:ascii="Verdana" w:hAnsi="Verdana" w:cs="Arial"/>
                <w:sz w:val="20"/>
                <w:szCs w:val="20"/>
              </w:rPr>
              <w:t>2</w:t>
            </w:r>
            <w:r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1615A439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5749D015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La ejecución de los gastos de inversión estuvo distribuida así: </w:t>
            </w:r>
          </w:p>
          <w:p w14:paraId="45C0AA5E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B54B1D7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 xml:space="preserve">1) Administración de Recursos de Cooperación con el </w:t>
            </w:r>
            <w:r w:rsidR="00BA6542">
              <w:rPr>
                <w:rFonts w:ascii="Verdana" w:hAnsi="Verdana"/>
                <w:sz w:val="20"/>
                <w:szCs w:val="20"/>
              </w:rPr>
              <w:t>6,16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BA6542">
              <w:rPr>
                <w:rFonts w:ascii="Verdana" w:hAnsi="Verdana"/>
                <w:sz w:val="20"/>
                <w:szCs w:val="20"/>
              </w:rPr>
              <w:t>1.916,6</w:t>
            </w:r>
            <w:r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4B3748D7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F241BD" w14:textId="77777777" w:rsidR="00EA37E9" w:rsidRPr="00EA37E9" w:rsidRDefault="00BA6542" w:rsidP="00AA61B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EA37E9">
              <w:rPr>
                <w:rFonts w:ascii="Verdana" w:hAnsi="Verdana"/>
                <w:sz w:val="20"/>
                <w:szCs w:val="20"/>
              </w:rPr>
              <w:t>279.6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42D0BD23" w14:textId="77777777" w:rsidR="0098385D" w:rsidRDefault="00A2238C" w:rsidP="0098385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98385D">
              <w:rPr>
                <w:rFonts w:ascii="Verdana" w:hAnsi="Verdana"/>
                <w:sz w:val="20"/>
                <w:szCs w:val="20"/>
              </w:rPr>
              <w:t>1.358,3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5CF4BA82" w14:textId="77777777" w:rsidR="00A2238C" w:rsidRDefault="0098385D" w:rsidP="0098385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240,0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33A4026A" w14:textId="77777777" w:rsidR="0098385D" w:rsidRDefault="0098385D" w:rsidP="0098385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18,1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35FD79A5" w14:textId="77777777" w:rsidR="00A2238C" w:rsidRPr="0098385D" w:rsidRDefault="00A2238C" w:rsidP="0098385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98385D">
              <w:rPr>
                <w:rFonts w:ascii="Verdana" w:hAnsi="Verdana"/>
                <w:sz w:val="20"/>
                <w:szCs w:val="20"/>
              </w:rPr>
              <w:t>16,8 millones por cuenta del proyecto Koica.</w:t>
            </w:r>
          </w:p>
          <w:p w14:paraId="5830805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57B760F1" w14:textId="77777777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2238C">
              <w:rPr>
                <w:rFonts w:ascii="Verdana" w:hAnsi="Verdana"/>
                <w:sz w:val="20"/>
                <w:szCs w:val="20"/>
              </w:rPr>
              <w:t>0,</w:t>
            </w:r>
            <w:r w:rsidR="00C62003">
              <w:rPr>
                <w:rFonts w:ascii="Verdana" w:hAnsi="Verdana"/>
                <w:sz w:val="20"/>
                <w:szCs w:val="20"/>
              </w:rPr>
              <w:t>54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A2238C">
              <w:rPr>
                <w:rFonts w:ascii="Verdana" w:hAnsi="Verdana"/>
                <w:sz w:val="20"/>
                <w:szCs w:val="20"/>
              </w:rPr>
              <w:t>11,6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profesional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10EDC43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24C099" w14:textId="77777777" w:rsidR="00F57B74" w:rsidRPr="003C58A7" w:rsidRDefault="00C62003" w:rsidP="00823DC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9,57% de la ejecución en inversión, equivalente a 204,0 millones para el servicio de 3 profesionales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lastRenderedPageBreak/>
              <w:t xml:space="preserve">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3B409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D6148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7189EDB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17D33">
              <w:rPr>
                <w:rFonts w:ascii="Verdana" w:hAnsi="Verdana"/>
                <w:sz w:val="20"/>
                <w:szCs w:val="20"/>
              </w:rPr>
              <w:t>2.4</w:t>
            </w:r>
            <w:r w:rsidR="00F13BCC">
              <w:rPr>
                <w:rFonts w:ascii="Verdana" w:hAnsi="Verdana"/>
                <w:sz w:val="20"/>
                <w:szCs w:val="20"/>
              </w:rPr>
              <w:t>37</w:t>
            </w:r>
            <w:r w:rsidR="00517D33">
              <w:rPr>
                <w:rFonts w:ascii="Verdana" w:hAnsi="Verdana"/>
                <w:sz w:val="20"/>
                <w:szCs w:val="20"/>
              </w:rPr>
              <w:t>,</w:t>
            </w:r>
            <w:r w:rsidR="00F13BCC">
              <w:rPr>
                <w:rFonts w:ascii="Verdana" w:hAnsi="Verdana"/>
                <w:sz w:val="20"/>
                <w:szCs w:val="20"/>
              </w:rPr>
              <w:t>5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>
              <w:rPr>
                <w:rFonts w:ascii="Verdana" w:hAnsi="Verdana"/>
                <w:sz w:val="20"/>
                <w:szCs w:val="20"/>
              </w:rPr>
              <w:t>62.956,0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F13BCC">
              <w:rPr>
                <w:rFonts w:ascii="Verdana" w:hAnsi="Verdana"/>
                <w:sz w:val="20"/>
                <w:szCs w:val="20"/>
              </w:rPr>
              <w:t>3,87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53721266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38A972" w14:textId="77777777" w:rsidR="0004373C" w:rsidRPr="00D1547A" w:rsidRDefault="00A67EEC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E79B7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517D33">
              <w:rPr>
                <w:rFonts w:ascii="Verdana" w:hAnsi="Verdana"/>
                <w:sz w:val="20"/>
                <w:szCs w:val="20"/>
              </w:rPr>
              <w:t>29 de febrero</w:t>
            </w:r>
            <w:r w:rsidR="00BB21DD" w:rsidRPr="00EE79B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79B7" w:rsidRPr="00EE79B7">
              <w:rPr>
                <w:rFonts w:ascii="Verdana" w:hAnsi="Verdana"/>
                <w:sz w:val="20"/>
                <w:szCs w:val="20"/>
              </w:rPr>
              <w:t>de 20</w:t>
            </w:r>
            <w:r w:rsidR="00681998">
              <w:rPr>
                <w:rFonts w:ascii="Verdana" w:hAnsi="Verdana"/>
                <w:sz w:val="20"/>
                <w:szCs w:val="20"/>
              </w:rPr>
              <w:t>20</w:t>
            </w:r>
            <w:r w:rsidRPr="00EE79B7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81521A">
              <w:rPr>
                <w:rFonts w:ascii="Verdana" w:hAnsi="Verdana"/>
                <w:sz w:val="20"/>
                <w:szCs w:val="20"/>
              </w:rPr>
              <w:t>3,87</w:t>
            </w:r>
            <w:r w:rsidRPr="00EE79B7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517D33">
              <w:rPr>
                <w:rFonts w:ascii="Verdana" w:hAnsi="Verdana"/>
                <w:sz w:val="20"/>
                <w:szCs w:val="20"/>
              </w:rPr>
              <w:t>2.</w:t>
            </w:r>
            <w:r w:rsidR="0081521A">
              <w:rPr>
                <w:rFonts w:ascii="Verdana" w:hAnsi="Verdana"/>
                <w:sz w:val="20"/>
                <w:szCs w:val="20"/>
              </w:rPr>
              <w:t>437,5</w:t>
            </w:r>
            <w:r w:rsidRPr="00EE79B7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517D33">
              <w:rPr>
                <w:rFonts w:ascii="Verdana" w:hAnsi="Verdana"/>
                <w:sz w:val="20"/>
                <w:szCs w:val="20"/>
              </w:rPr>
              <w:t>2,98</w:t>
            </w:r>
            <w:r w:rsidRPr="00EE79B7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>
              <w:rPr>
                <w:rFonts w:ascii="Verdana" w:hAnsi="Verdana"/>
                <w:sz w:val="20"/>
                <w:szCs w:val="20"/>
              </w:rPr>
              <w:t>con un Superávit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517D33">
              <w:rPr>
                <w:rFonts w:ascii="Verdana" w:hAnsi="Verdana"/>
                <w:sz w:val="20"/>
                <w:szCs w:val="20"/>
              </w:rPr>
              <w:t>5</w:t>
            </w:r>
            <w:r w:rsidR="0081521A">
              <w:rPr>
                <w:rFonts w:ascii="Verdana" w:hAnsi="Verdana"/>
                <w:sz w:val="20"/>
                <w:szCs w:val="20"/>
              </w:rPr>
              <w:t>60</w:t>
            </w:r>
            <w:r w:rsidR="00517D33">
              <w:rPr>
                <w:rFonts w:ascii="Verdana" w:hAnsi="Verdana"/>
                <w:sz w:val="20"/>
                <w:szCs w:val="20"/>
              </w:rPr>
              <w:t>,</w:t>
            </w:r>
            <w:r w:rsidR="0081521A">
              <w:rPr>
                <w:rFonts w:ascii="Verdana" w:hAnsi="Verdana"/>
                <w:sz w:val="20"/>
                <w:szCs w:val="20"/>
              </w:rPr>
              <w:t>5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millones, el cual se explica de la siguiente manera: </w:t>
            </w:r>
            <w:r w:rsidRPr="00A516EE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  en la ejecución de gastos de personal por </w:t>
            </w:r>
            <w:r w:rsidR="00517D33">
              <w:rPr>
                <w:rFonts w:ascii="Verdana" w:hAnsi="Verdana" w:cs="Arial"/>
                <w:sz w:val="20"/>
                <w:szCs w:val="20"/>
                <w:lang w:val="es-CO"/>
              </w:rPr>
              <w:t>5,2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681998" w:rsidRPr="00693F58">
              <w:rPr>
                <w:rFonts w:ascii="Verdana" w:hAnsi="Verdana" w:cs="Arial"/>
                <w:sz w:val="20"/>
                <w:szCs w:val="20"/>
              </w:rPr>
              <w:t>debido a que la Planta de personal no se ocupó en su totalidad</w:t>
            </w:r>
            <w:r w:rsidR="00681998">
              <w:rPr>
                <w:rFonts w:ascii="Verdana" w:hAnsi="Verdana" w:cs="Arial"/>
                <w:sz w:val="20"/>
                <w:szCs w:val="20"/>
              </w:rPr>
              <w:t xml:space="preserve"> en el mes de </w:t>
            </w:r>
            <w:r w:rsidR="00517D33">
              <w:rPr>
                <w:rFonts w:ascii="Verdana" w:hAnsi="Verdana" w:cs="Arial"/>
                <w:sz w:val="20"/>
                <w:szCs w:val="20"/>
              </w:rPr>
              <w:t>febrero</w:t>
            </w:r>
            <w:r w:rsidR="00681998">
              <w:rPr>
                <w:rFonts w:ascii="Verdana" w:hAnsi="Verdana" w:cs="Arial"/>
                <w:sz w:val="20"/>
                <w:szCs w:val="20"/>
              </w:rPr>
              <w:t>.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2) 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>Déficit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la ejecución de adquisición de bienes y servicios por </w:t>
            </w:r>
            <w:r w:rsidR="00517D33">
              <w:rPr>
                <w:rFonts w:ascii="Verdana" w:hAnsi="Verdana" w:cs="Arial"/>
                <w:sz w:val="20"/>
                <w:szCs w:val="20"/>
                <w:lang w:val="es-CO"/>
              </w:rPr>
              <w:t>21,1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, </w:t>
            </w:r>
            <w:r w:rsidR="003A070E" w:rsidRPr="0004373C">
              <w:rPr>
                <w:rFonts w:ascii="Verdana" w:hAnsi="Verdana" w:cs="Arial"/>
                <w:sz w:val="20"/>
                <w:szCs w:val="20"/>
                <w:lang w:val="es-CO"/>
              </w:rPr>
              <w:t>debido que no se</w:t>
            </w:r>
            <w:r w:rsidR="003A070E">
              <w:rPr>
                <w:rFonts w:ascii="Verdana" w:hAnsi="Verdana" w:cs="Arial"/>
                <w:sz w:val="20"/>
                <w:szCs w:val="20"/>
                <w:lang w:val="es-CO"/>
              </w:rPr>
              <w:t xml:space="preserve"> realizaron actividades prevista</w:t>
            </w:r>
            <w:r w:rsidR="0004373C">
              <w:rPr>
                <w:rFonts w:ascii="Verdana" w:hAnsi="Verdana" w:cs="Arial"/>
                <w:sz w:val="20"/>
                <w:szCs w:val="20"/>
                <w:lang w:val="es-CO"/>
              </w:rPr>
              <w:t>s</w:t>
            </w:r>
            <w:r w:rsidR="003A070E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 gastos de viaje para el mes de febrero.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>E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n la ejecución de transferencia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s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>corrientes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presentó un </w:t>
            </w:r>
            <w:r w:rsidR="008E21DE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81521A">
              <w:rPr>
                <w:rFonts w:ascii="Verdana" w:hAnsi="Verdana" w:cs="Arial"/>
                <w:sz w:val="20"/>
                <w:szCs w:val="20"/>
                <w:lang w:val="es-CO"/>
              </w:rPr>
              <w:t>13,6</w:t>
            </w:r>
            <w:r w:rsidR="00681998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>
              <w:rPr>
                <w:rFonts w:ascii="Verdana" w:hAnsi="Verdana" w:cs="Arial"/>
                <w:sz w:val="20"/>
                <w:szCs w:val="20"/>
              </w:rPr>
              <w:t>i) superávit</w:t>
            </w:r>
            <w:r w:rsidR="008E21DE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81521A">
              <w:rPr>
                <w:rFonts w:ascii="Verdana" w:hAnsi="Verdana" w:cs="Arial"/>
                <w:sz w:val="20"/>
                <w:szCs w:val="20"/>
              </w:rPr>
              <w:t>17,1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se realizó el pago 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81521A">
              <w:rPr>
                <w:rFonts w:ascii="Verdana" w:hAnsi="Verdana" w:cs="Arial"/>
                <w:sz w:val="20"/>
                <w:szCs w:val="20"/>
              </w:rPr>
              <w:t>varias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actividad</w:t>
            </w:r>
            <w:r w:rsidR="0081521A">
              <w:rPr>
                <w:rFonts w:ascii="Verdana" w:hAnsi="Verdana" w:cs="Arial"/>
                <w:sz w:val="20"/>
                <w:szCs w:val="20"/>
              </w:rPr>
              <w:t>es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prevista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 para el mes de </w:t>
            </w:r>
            <w:r w:rsidR="0081521A">
              <w:rPr>
                <w:rFonts w:ascii="Verdana" w:hAnsi="Verdana" w:cs="Arial"/>
                <w:sz w:val="20"/>
                <w:szCs w:val="20"/>
              </w:rPr>
              <w:t>marzo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de gastos de viaje</w:t>
            </w:r>
            <w:r w:rsidR="0081521A">
              <w:rPr>
                <w:rFonts w:ascii="Verdana" w:hAnsi="Verdana" w:cs="Arial"/>
                <w:sz w:val="20"/>
                <w:szCs w:val="20"/>
              </w:rPr>
              <w:t>.</w:t>
            </w:r>
            <w:r w:rsidR="00681998">
              <w:rPr>
                <w:rFonts w:ascii="Verdana" w:hAnsi="Verdana" w:cs="Arial"/>
                <w:sz w:val="20"/>
                <w:szCs w:val="20"/>
              </w:rPr>
              <w:t xml:space="preserve"> ii</w:t>
            </w:r>
            <w:r w:rsidR="00681998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se presentó déficit de 3,5 millones del rubro de incapacidades y licencias de maternidad, aunque este rubro es variable según las incapacidades y licencias que radican el talento humano.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373C">
              <w:rPr>
                <w:rFonts w:ascii="Verdana" w:hAnsi="Verdana" w:cs="Arial"/>
                <w:sz w:val="20"/>
                <w:szCs w:val="20"/>
                <w:lang w:val="es-CO"/>
              </w:rPr>
              <w:t xml:space="preserve">Superávit de </w:t>
            </w:r>
            <w:r w:rsidR="009E32F9">
              <w:rPr>
                <w:rFonts w:ascii="Verdana" w:hAnsi="Verdana" w:cs="Arial"/>
                <w:sz w:val="20"/>
                <w:szCs w:val="20"/>
                <w:lang w:val="es-CO"/>
              </w:rPr>
              <w:t>573,3</w:t>
            </w:r>
            <w:r w:rsidR="0004373C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9E32F9">
              <w:rPr>
                <w:rFonts w:ascii="Verdana" w:hAnsi="Verdana" w:cs="Arial"/>
                <w:sz w:val="20"/>
                <w:szCs w:val="20"/>
                <w:lang w:val="es-CO"/>
              </w:rPr>
              <w:t xml:space="preserve">; </w:t>
            </w:r>
            <w:r w:rsidR="0004373C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04373C">
              <w:rPr>
                <w:rFonts w:ascii="Verdana" w:hAnsi="Verdana" w:cs="Arial"/>
                <w:sz w:val="20"/>
                <w:szCs w:val="20"/>
              </w:rPr>
              <w:t xml:space="preserve">Superávit de </w:t>
            </w:r>
            <w:r w:rsidR="005F2DA8">
              <w:rPr>
                <w:rFonts w:ascii="Verdana" w:hAnsi="Verdana" w:cs="Arial"/>
                <w:sz w:val="20"/>
                <w:szCs w:val="20"/>
              </w:rPr>
              <w:t>573,3</w:t>
            </w:r>
            <w:r w:rsidR="0004373C">
              <w:rPr>
                <w:rFonts w:ascii="Verdana" w:hAnsi="Verdana" w:cs="Arial"/>
                <w:sz w:val="20"/>
                <w:szCs w:val="20"/>
              </w:rPr>
              <w:t xml:space="preserve"> millones, debido</w:t>
            </w:r>
            <w:r w:rsidR="0004373C" w:rsidRPr="00994555">
              <w:rPr>
                <w:rFonts w:ascii="Verdana" w:hAnsi="Verdana" w:cs="Arial"/>
                <w:sz w:val="20"/>
                <w:szCs w:val="20"/>
              </w:rPr>
              <w:t xml:space="preserve"> a que</w:t>
            </w:r>
            <w:r w:rsidR="005F2DA8">
              <w:rPr>
                <w:rFonts w:ascii="Verdana" w:hAnsi="Verdana" w:cs="Arial"/>
                <w:sz w:val="20"/>
                <w:szCs w:val="20"/>
              </w:rPr>
              <w:t xml:space="preserve"> se tramito la factura de </w:t>
            </w:r>
            <w:r w:rsidR="005F2DA8" w:rsidRPr="005F2DA8">
              <w:rPr>
                <w:rFonts w:ascii="Verdana" w:hAnsi="Verdana" w:cs="Arial"/>
                <w:sz w:val="20"/>
                <w:szCs w:val="20"/>
              </w:rPr>
              <w:t>adquisición de pólizas todo riesgo, con destino a los vehículos de los batallones</w:t>
            </w:r>
            <w:r w:rsidR="005F2DA8">
              <w:rPr>
                <w:rFonts w:ascii="Verdana" w:hAnsi="Verdana" w:cs="Arial"/>
                <w:sz w:val="20"/>
                <w:szCs w:val="20"/>
              </w:rPr>
              <w:t xml:space="preserve"> de la Brigada de </w:t>
            </w:r>
            <w:r w:rsidR="005F2DA8" w:rsidRPr="005F2DA8">
              <w:rPr>
                <w:rFonts w:ascii="Verdana" w:hAnsi="Verdana" w:cs="Arial"/>
                <w:sz w:val="20"/>
                <w:szCs w:val="20"/>
              </w:rPr>
              <w:t>ingenieros de desminado humanitario</w:t>
            </w:r>
            <w:r w:rsidR="005F2DA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4373C">
              <w:rPr>
                <w:rFonts w:ascii="Verdana" w:hAnsi="Verdana" w:cs="Arial"/>
                <w:sz w:val="20"/>
                <w:szCs w:val="20"/>
              </w:rPr>
              <w:t>del rubro de Administración de recursos</w:t>
            </w:r>
            <w:r w:rsidR="005F2DA8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4AC964D0" w14:textId="77777777" w:rsidR="00E279ED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2D56B5" w14:textId="77777777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5F2DA8">
              <w:rPr>
                <w:rFonts w:ascii="Verdana" w:hAnsi="Verdana" w:cs="Arial"/>
                <w:sz w:val="20"/>
                <w:szCs w:val="20"/>
                <w:lang w:val="es-CO"/>
              </w:rPr>
              <w:t>5,97</w:t>
            </w: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5F2DA8">
              <w:rPr>
                <w:rFonts w:ascii="Verdana" w:hAnsi="Verdana" w:cs="Arial"/>
                <w:sz w:val="20"/>
                <w:szCs w:val="20"/>
                <w:lang w:val="es-CO"/>
              </w:rPr>
              <w:t>02,10</w:t>
            </w:r>
            <w:r w:rsidRPr="007C68D7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05641AC0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C62E5AE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lastRenderedPageBreak/>
              <w:t xml:space="preserve">La ejecución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obligaciones </w:t>
            </w:r>
            <w:r w:rsidRPr="007C68D7">
              <w:rPr>
                <w:rFonts w:ascii="Verdana" w:hAnsi="Verdana" w:cs="Arial"/>
                <w:sz w:val="20"/>
                <w:szCs w:val="20"/>
              </w:rPr>
              <w:t>en funcionamiento se distribuyó así:</w:t>
            </w:r>
          </w:p>
          <w:p w14:paraId="29122B50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9147381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5F2DA8">
              <w:rPr>
                <w:rFonts w:ascii="Verdana" w:hAnsi="Verdana" w:cs="Arial"/>
                <w:sz w:val="20"/>
                <w:szCs w:val="20"/>
              </w:rPr>
              <w:t>14</w:t>
            </w:r>
            <w:r>
              <w:rPr>
                <w:rFonts w:ascii="Verdana" w:hAnsi="Verdana" w:cs="Arial"/>
                <w:sz w:val="20"/>
                <w:szCs w:val="20"/>
              </w:rPr>
              <w:t>,0</w:t>
            </w:r>
            <w:r w:rsidR="005F2DA8">
              <w:rPr>
                <w:rFonts w:ascii="Verdana" w:hAnsi="Verdana" w:cs="Arial"/>
                <w:sz w:val="20"/>
                <w:szCs w:val="20"/>
              </w:rPr>
              <w:t>2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609FF4BA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5F2DA8">
              <w:rPr>
                <w:rFonts w:ascii="Verdana" w:hAnsi="Verdana" w:cs="Arial"/>
                <w:sz w:val="20"/>
                <w:szCs w:val="20"/>
              </w:rPr>
              <w:t>08,58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37C6DBE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>
              <w:rPr>
                <w:rFonts w:ascii="Verdana" w:hAnsi="Verdana" w:cs="Arial"/>
                <w:sz w:val="20"/>
                <w:szCs w:val="20"/>
              </w:rPr>
              <w:t>0,3</w:t>
            </w:r>
            <w:r w:rsidR="005F2DA8">
              <w:rPr>
                <w:rFonts w:ascii="Verdana" w:hAnsi="Verdana" w:cs="Arial"/>
                <w:sz w:val="20"/>
                <w:szCs w:val="20"/>
              </w:rPr>
              <w:t>8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>
              <w:rPr>
                <w:rFonts w:ascii="Verdana" w:hAnsi="Verdana" w:cs="Arial"/>
                <w:sz w:val="20"/>
                <w:szCs w:val="20"/>
              </w:rPr>
              <w:t>0,3</w:t>
            </w:r>
            <w:r w:rsidR="005F2DA8">
              <w:rPr>
                <w:rFonts w:ascii="Verdana" w:hAnsi="Verdana" w:cs="Arial"/>
                <w:sz w:val="20"/>
                <w:szCs w:val="20"/>
              </w:rPr>
              <w:t>6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0,0</w:t>
            </w:r>
            <w:r w:rsidR="005F2DA8">
              <w:rPr>
                <w:rFonts w:ascii="Verdana" w:hAnsi="Verdana" w:cs="Arial"/>
                <w:sz w:val="20"/>
                <w:szCs w:val="20"/>
              </w:rPr>
              <w:t>2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078AFAA1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79BD957A" w14:textId="77777777" w:rsidR="00A67EEC" w:rsidRPr="006D212E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1C62DA" w14:textId="77777777" w:rsidR="0004373C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51093703" w14:textId="77777777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99044A1" w14:textId="77777777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>
              <w:rPr>
                <w:rFonts w:ascii="Verdana" w:hAnsi="Verdana" w:cs="Arial"/>
                <w:sz w:val="20"/>
                <w:szCs w:val="20"/>
              </w:rPr>
              <w:t>2,29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5EA5CCD2" w14:textId="77777777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182C5F">
              <w:rPr>
                <w:rFonts w:ascii="Verdana" w:hAnsi="Verdana" w:cs="Arial"/>
                <w:sz w:val="20"/>
                <w:szCs w:val="20"/>
              </w:rPr>
              <w:t>712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="00182C5F">
              <w:rPr>
                <w:rFonts w:ascii="Verdana" w:hAnsi="Verdana" w:cs="Arial"/>
                <w:sz w:val="20"/>
                <w:szCs w:val="20"/>
              </w:rPr>
              <w:t>6</w:t>
            </w:r>
            <w:r w:rsidRPr="007C68D7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19AF898E" w14:textId="77777777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E3CCA53" w14:textId="77777777" w:rsidR="0004373C" w:rsidRDefault="00C85BD5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>
              <w:rPr>
                <w:rFonts w:ascii="Verdana" w:hAnsi="Verdana" w:cs="Arial"/>
                <w:sz w:val="20"/>
                <w:szCs w:val="20"/>
              </w:rPr>
              <w:t>708,3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7D2AC5C3" w14:textId="77777777" w:rsidR="0004373C" w:rsidRDefault="00C85BD5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b)4,2 millones, pagos del proyecto de Koica.</w:t>
            </w:r>
          </w:p>
          <w:p w14:paraId="6CF1D488" w14:textId="77777777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47347A4" w14:textId="77777777" w:rsidR="00C85BD5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>
              <w:rPr>
                <w:rFonts w:ascii="Verdana" w:hAnsi="Verdana" w:cs="Arial"/>
                <w:sz w:val="20"/>
                <w:szCs w:val="20"/>
              </w:rPr>
              <w:t>0,41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 xml:space="preserve">por el pago de un </w:t>
            </w:r>
            <w:r w:rsidRPr="00EA3C52">
              <w:rPr>
                <w:rFonts w:ascii="Verdana" w:hAnsi="Verdana"/>
                <w:sz w:val="20"/>
                <w:szCs w:val="20"/>
              </w:rPr>
              <w:t>servicio</w:t>
            </w:r>
            <w:r>
              <w:rPr>
                <w:rFonts w:ascii="Verdana" w:hAnsi="Verdana"/>
                <w:sz w:val="20"/>
                <w:szCs w:val="20"/>
              </w:rPr>
              <w:t xml:space="preserve"> profesional </w:t>
            </w:r>
            <w:r w:rsidRPr="00EA3C52">
              <w:rPr>
                <w:rFonts w:ascii="Verdana" w:hAnsi="Verdana"/>
                <w:sz w:val="20"/>
                <w:szCs w:val="20"/>
              </w:rPr>
              <w:t>para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5901727" w14:textId="77777777" w:rsidR="001F6498" w:rsidRPr="009B7746" w:rsidRDefault="001F6498" w:rsidP="00C85BD5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</w:tbl>
    <w:p w14:paraId="3A6D306F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FE62F" w14:textId="77777777" w:rsidR="00143276" w:rsidRDefault="00143276" w:rsidP="000D42D2">
      <w:r>
        <w:separator/>
      </w:r>
    </w:p>
  </w:endnote>
  <w:endnote w:type="continuationSeparator" w:id="0">
    <w:p w14:paraId="24828DDD" w14:textId="77777777" w:rsidR="00143276" w:rsidRDefault="00143276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76CC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497BE192" wp14:editId="30896E5D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8A9A5" w14:textId="77777777" w:rsidR="00143276" w:rsidRDefault="00143276" w:rsidP="000D42D2">
      <w:r>
        <w:separator/>
      </w:r>
    </w:p>
  </w:footnote>
  <w:footnote w:type="continuationSeparator" w:id="0">
    <w:p w14:paraId="37503027" w14:textId="77777777" w:rsidR="00143276" w:rsidRDefault="00143276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63FB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6F9C1AF2" wp14:editId="52C29D8A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229911" wp14:editId="3D56E42A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BB4D6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262C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15"/>
  </w:num>
  <w:num w:numId="13">
    <w:abstractNumId w:val="14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DBF"/>
    <w:rsid w:val="00007621"/>
    <w:rsid w:val="000101B6"/>
    <w:rsid w:val="00012B2E"/>
    <w:rsid w:val="000145BA"/>
    <w:rsid w:val="000239CD"/>
    <w:rsid w:val="000245A9"/>
    <w:rsid w:val="000258B2"/>
    <w:rsid w:val="000265A6"/>
    <w:rsid w:val="0003104B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B60"/>
    <w:rsid w:val="0008702D"/>
    <w:rsid w:val="00087216"/>
    <w:rsid w:val="00087EB8"/>
    <w:rsid w:val="00090729"/>
    <w:rsid w:val="00091CF9"/>
    <w:rsid w:val="000944BB"/>
    <w:rsid w:val="00097F4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69BE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60A3"/>
    <w:rsid w:val="00116FC5"/>
    <w:rsid w:val="0012070D"/>
    <w:rsid w:val="001208B7"/>
    <w:rsid w:val="001217CD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2997"/>
    <w:rsid w:val="00172CB9"/>
    <w:rsid w:val="001738E7"/>
    <w:rsid w:val="00176925"/>
    <w:rsid w:val="00177162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22C0"/>
    <w:rsid w:val="001E2EA5"/>
    <w:rsid w:val="001E4610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E97"/>
    <w:rsid w:val="002457D5"/>
    <w:rsid w:val="00245D35"/>
    <w:rsid w:val="00246011"/>
    <w:rsid w:val="00247819"/>
    <w:rsid w:val="0025037B"/>
    <w:rsid w:val="00250DE8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433E"/>
    <w:rsid w:val="002F4FDB"/>
    <w:rsid w:val="002F531E"/>
    <w:rsid w:val="00302CBA"/>
    <w:rsid w:val="0030355A"/>
    <w:rsid w:val="003074AA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3008"/>
    <w:rsid w:val="003656E7"/>
    <w:rsid w:val="00365E78"/>
    <w:rsid w:val="0036641A"/>
    <w:rsid w:val="0037032C"/>
    <w:rsid w:val="003725D8"/>
    <w:rsid w:val="00374439"/>
    <w:rsid w:val="003754DB"/>
    <w:rsid w:val="0037712E"/>
    <w:rsid w:val="003775DA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76D4"/>
    <w:rsid w:val="003C7ECA"/>
    <w:rsid w:val="003D267A"/>
    <w:rsid w:val="003D28B1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6809"/>
    <w:rsid w:val="004A6F38"/>
    <w:rsid w:val="004B0727"/>
    <w:rsid w:val="004B5269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71C5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2ACA"/>
    <w:rsid w:val="005341C8"/>
    <w:rsid w:val="00536711"/>
    <w:rsid w:val="00541CCA"/>
    <w:rsid w:val="00543E04"/>
    <w:rsid w:val="00545594"/>
    <w:rsid w:val="00551A00"/>
    <w:rsid w:val="005536DB"/>
    <w:rsid w:val="00554D2D"/>
    <w:rsid w:val="00554E60"/>
    <w:rsid w:val="005572D7"/>
    <w:rsid w:val="00557A65"/>
    <w:rsid w:val="00557C55"/>
    <w:rsid w:val="00560B40"/>
    <w:rsid w:val="00563092"/>
    <w:rsid w:val="00563108"/>
    <w:rsid w:val="00567A1B"/>
    <w:rsid w:val="00570CDD"/>
    <w:rsid w:val="005745D3"/>
    <w:rsid w:val="005756B9"/>
    <w:rsid w:val="005778FA"/>
    <w:rsid w:val="00580D94"/>
    <w:rsid w:val="00582BF7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335D"/>
    <w:rsid w:val="005B6BF7"/>
    <w:rsid w:val="005C3277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1D6C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61AB"/>
    <w:rsid w:val="00666439"/>
    <w:rsid w:val="006667C2"/>
    <w:rsid w:val="0066729B"/>
    <w:rsid w:val="00675F77"/>
    <w:rsid w:val="0067778C"/>
    <w:rsid w:val="00681998"/>
    <w:rsid w:val="00681E91"/>
    <w:rsid w:val="00682671"/>
    <w:rsid w:val="0068481A"/>
    <w:rsid w:val="00686DAB"/>
    <w:rsid w:val="00690101"/>
    <w:rsid w:val="0069104E"/>
    <w:rsid w:val="0069199D"/>
    <w:rsid w:val="00692442"/>
    <w:rsid w:val="00693F2D"/>
    <w:rsid w:val="006940D4"/>
    <w:rsid w:val="0069547B"/>
    <w:rsid w:val="0069630A"/>
    <w:rsid w:val="006A0B0B"/>
    <w:rsid w:val="006A1FA4"/>
    <w:rsid w:val="006A72E5"/>
    <w:rsid w:val="006B02C1"/>
    <w:rsid w:val="006B077F"/>
    <w:rsid w:val="006B117F"/>
    <w:rsid w:val="006B118E"/>
    <w:rsid w:val="006B264B"/>
    <w:rsid w:val="006B3A96"/>
    <w:rsid w:val="006B3C37"/>
    <w:rsid w:val="006C12E6"/>
    <w:rsid w:val="006C45AF"/>
    <w:rsid w:val="006C49C9"/>
    <w:rsid w:val="006C5C8F"/>
    <w:rsid w:val="006C6596"/>
    <w:rsid w:val="006C6602"/>
    <w:rsid w:val="006C6FC4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78B8"/>
    <w:rsid w:val="007309D3"/>
    <w:rsid w:val="00733BB9"/>
    <w:rsid w:val="00733F8C"/>
    <w:rsid w:val="00737395"/>
    <w:rsid w:val="007421FA"/>
    <w:rsid w:val="007431B2"/>
    <w:rsid w:val="007442ED"/>
    <w:rsid w:val="00746AE6"/>
    <w:rsid w:val="00747139"/>
    <w:rsid w:val="007522F9"/>
    <w:rsid w:val="00754541"/>
    <w:rsid w:val="007615D8"/>
    <w:rsid w:val="007647E4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19CC"/>
    <w:rsid w:val="007B2A21"/>
    <w:rsid w:val="007B376F"/>
    <w:rsid w:val="007B3FC8"/>
    <w:rsid w:val="007B4631"/>
    <w:rsid w:val="007B6623"/>
    <w:rsid w:val="007B7B33"/>
    <w:rsid w:val="007C13FE"/>
    <w:rsid w:val="007C5CF8"/>
    <w:rsid w:val="007C681E"/>
    <w:rsid w:val="007C7EC8"/>
    <w:rsid w:val="007D2EA0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4E4A"/>
    <w:rsid w:val="0081521A"/>
    <w:rsid w:val="00817315"/>
    <w:rsid w:val="00817550"/>
    <w:rsid w:val="0082384C"/>
    <w:rsid w:val="00823DC7"/>
    <w:rsid w:val="00826459"/>
    <w:rsid w:val="00830626"/>
    <w:rsid w:val="008331F0"/>
    <w:rsid w:val="00835333"/>
    <w:rsid w:val="00835ED4"/>
    <w:rsid w:val="0083624A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644D"/>
    <w:rsid w:val="00897DA9"/>
    <w:rsid w:val="008A095F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46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A10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C78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6814"/>
    <w:rsid w:val="00A500B3"/>
    <w:rsid w:val="00A51580"/>
    <w:rsid w:val="00A516EE"/>
    <w:rsid w:val="00A518A9"/>
    <w:rsid w:val="00A525C3"/>
    <w:rsid w:val="00A5317D"/>
    <w:rsid w:val="00A61C65"/>
    <w:rsid w:val="00A61CEA"/>
    <w:rsid w:val="00A63C77"/>
    <w:rsid w:val="00A647F8"/>
    <w:rsid w:val="00A650D8"/>
    <w:rsid w:val="00A660B4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5BDE"/>
    <w:rsid w:val="00AF7741"/>
    <w:rsid w:val="00B0138B"/>
    <w:rsid w:val="00B01B6B"/>
    <w:rsid w:val="00B020B8"/>
    <w:rsid w:val="00B02350"/>
    <w:rsid w:val="00B04AAF"/>
    <w:rsid w:val="00B04CEF"/>
    <w:rsid w:val="00B06B1D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1CB3"/>
    <w:rsid w:val="00B421C7"/>
    <w:rsid w:val="00B4412E"/>
    <w:rsid w:val="00B4467E"/>
    <w:rsid w:val="00B44770"/>
    <w:rsid w:val="00B4482F"/>
    <w:rsid w:val="00B44E51"/>
    <w:rsid w:val="00B458C0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6CC6"/>
    <w:rsid w:val="00B71B75"/>
    <w:rsid w:val="00B71E77"/>
    <w:rsid w:val="00B74B6A"/>
    <w:rsid w:val="00B74E51"/>
    <w:rsid w:val="00B75014"/>
    <w:rsid w:val="00B75953"/>
    <w:rsid w:val="00B76D8D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25B7"/>
    <w:rsid w:val="00BD2AC2"/>
    <w:rsid w:val="00BD449E"/>
    <w:rsid w:val="00BD4BD6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4EC6"/>
    <w:rsid w:val="00CA5927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2484"/>
    <w:rsid w:val="00CF2F0D"/>
    <w:rsid w:val="00CF4B48"/>
    <w:rsid w:val="00CF7220"/>
    <w:rsid w:val="00D012C7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3BAF"/>
    <w:rsid w:val="00D45576"/>
    <w:rsid w:val="00D46302"/>
    <w:rsid w:val="00D46A8D"/>
    <w:rsid w:val="00D46E0D"/>
    <w:rsid w:val="00D517D1"/>
    <w:rsid w:val="00D528FF"/>
    <w:rsid w:val="00D55710"/>
    <w:rsid w:val="00D6044C"/>
    <w:rsid w:val="00D62AC1"/>
    <w:rsid w:val="00D62ED4"/>
    <w:rsid w:val="00D6335A"/>
    <w:rsid w:val="00D71EE4"/>
    <w:rsid w:val="00D75334"/>
    <w:rsid w:val="00D77F94"/>
    <w:rsid w:val="00D807E9"/>
    <w:rsid w:val="00D82D5E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5206"/>
    <w:rsid w:val="00DF63F4"/>
    <w:rsid w:val="00E0063B"/>
    <w:rsid w:val="00E00FC3"/>
    <w:rsid w:val="00E02A10"/>
    <w:rsid w:val="00E02A65"/>
    <w:rsid w:val="00E02F43"/>
    <w:rsid w:val="00E04106"/>
    <w:rsid w:val="00E1039D"/>
    <w:rsid w:val="00E11C17"/>
    <w:rsid w:val="00E11C5A"/>
    <w:rsid w:val="00E120AD"/>
    <w:rsid w:val="00E12FB0"/>
    <w:rsid w:val="00E14FA8"/>
    <w:rsid w:val="00E15EE0"/>
    <w:rsid w:val="00E162C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9136D"/>
    <w:rsid w:val="00E92A50"/>
    <w:rsid w:val="00E92D68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E1371"/>
    <w:rsid w:val="00EE561B"/>
    <w:rsid w:val="00EE79B7"/>
    <w:rsid w:val="00EF1061"/>
    <w:rsid w:val="00EF3A5D"/>
    <w:rsid w:val="00EF4664"/>
    <w:rsid w:val="00EF5BB8"/>
    <w:rsid w:val="00EF7C31"/>
    <w:rsid w:val="00F003A5"/>
    <w:rsid w:val="00F018AF"/>
    <w:rsid w:val="00F02ECA"/>
    <w:rsid w:val="00F039A5"/>
    <w:rsid w:val="00F0426C"/>
    <w:rsid w:val="00F06156"/>
    <w:rsid w:val="00F075F5"/>
    <w:rsid w:val="00F102D6"/>
    <w:rsid w:val="00F10DF1"/>
    <w:rsid w:val="00F10F60"/>
    <w:rsid w:val="00F1119E"/>
    <w:rsid w:val="00F12ADD"/>
    <w:rsid w:val="00F13BCC"/>
    <w:rsid w:val="00F13DEF"/>
    <w:rsid w:val="00F14E61"/>
    <w:rsid w:val="00F16EBD"/>
    <w:rsid w:val="00F17535"/>
    <w:rsid w:val="00F20EFA"/>
    <w:rsid w:val="00F21F46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6597"/>
    <w:rsid w:val="00F90E4B"/>
    <w:rsid w:val="00F92381"/>
    <w:rsid w:val="00F92751"/>
    <w:rsid w:val="00F94B0C"/>
    <w:rsid w:val="00F951DE"/>
    <w:rsid w:val="00FA127B"/>
    <w:rsid w:val="00FA448F"/>
    <w:rsid w:val="00FA5A1B"/>
    <w:rsid w:val="00FA76D4"/>
    <w:rsid w:val="00FB03F5"/>
    <w:rsid w:val="00FB1B91"/>
    <w:rsid w:val="00FB265F"/>
    <w:rsid w:val="00FB3B05"/>
    <w:rsid w:val="00FB4678"/>
    <w:rsid w:val="00FB4C32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E29F3"/>
    <w:rsid w:val="00FE2CFD"/>
    <w:rsid w:val="00FE5752"/>
    <w:rsid w:val="00FE5A1D"/>
    <w:rsid w:val="00FE63AA"/>
    <w:rsid w:val="00FF07B5"/>
    <w:rsid w:val="00FF112A"/>
    <w:rsid w:val="00FF3C0F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1DBFB2F"/>
  <w15:docId w15:val="{A97A8565-5C7A-45DA-857B-042B1C0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C1342FF-4D34-4E85-B4CB-FB690EFB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5</cp:revision>
  <cp:lastPrinted>2017-02-23T16:56:00Z</cp:lastPrinted>
  <dcterms:created xsi:type="dcterms:W3CDTF">2020-03-13T19:13:00Z</dcterms:created>
  <dcterms:modified xsi:type="dcterms:W3CDTF">2020-11-05T13:28:00Z</dcterms:modified>
</cp:coreProperties>
</file>