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EB8F4" w14:textId="77777777" w:rsidR="00873972" w:rsidRPr="003C58A7" w:rsidRDefault="00873972" w:rsidP="00B41CB3">
      <w:pPr>
        <w:jc w:val="center"/>
        <w:rPr>
          <w:rFonts w:ascii="Verdana" w:hAnsi="Verdana"/>
          <w:b/>
          <w:sz w:val="22"/>
          <w:szCs w:val="20"/>
        </w:rPr>
      </w:pPr>
      <w:r w:rsidRPr="003C58A7">
        <w:rPr>
          <w:rFonts w:ascii="Verdana" w:hAnsi="Verdana"/>
          <w:b/>
          <w:sz w:val="22"/>
          <w:szCs w:val="20"/>
        </w:rPr>
        <w:t>AGENCIA PRESIDENCIAL DE COOPERACIÓN INTERNACIONAL</w:t>
      </w:r>
    </w:p>
    <w:p w14:paraId="018A73C9" w14:textId="6600658B" w:rsidR="00DF3B93" w:rsidRPr="003C58A7" w:rsidRDefault="00873972" w:rsidP="00790E69">
      <w:pPr>
        <w:jc w:val="center"/>
        <w:rPr>
          <w:rFonts w:ascii="Verdana" w:hAnsi="Verdana"/>
          <w:b/>
          <w:sz w:val="22"/>
          <w:szCs w:val="20"/>
        </w:rPr>
      </w:pPr>
      <w:r w:rsidRPr="003C58A7">
        <w:rPr>
          <w:rFonts w:ascii="Verdana" w:hAnsi="Verdana"/>
          <w:b/>
          <w:sz w:val="22"/>
          <w:szCs w:val="20"/>
        </w:rPr>
        <w:t xml:space="preserve">Ejecución presupuestal a </w:t>
      </w:r>
      <w:r w:rsidR="005365D4">
        <w:rPr>
          <w:rFonts w:ascii="Verdana" w:hAnsi="Verdana"/>
          <w:b/>
          <w:sz w:val="22"/>
          <w:szCs w:val="20"/>
        </w:rPr>
        <w:t xml:space="preserve">31 de </w:t>
      </w:r>
      <w:r w:rsidR="0055737F">
        <w:rPr>
          <w:rFonts w:ascii="Verdana" w:hAnsi="Verdana"/>
          <w:b/>
          <w:sz w:val="22"/>
          <w:szCs w:val="20"/>
        </w:rPr>
        <w:t>agosto</w:t>
      </w:r>
      <w:r w:rsidR="001645D6" w:rsidRPr="003C58A7">
        <w:rPr>
          <w:rFonts w:ascii="Verdana" w:hAnsi="Verdana"/>
          <w:b/>
          <w:sz w:val="22"/>
          <w:szCs w:val="20"/>
        </w:rPr>
        <w:t xml:space="preserve"> </w:t>
      </w:r>
      <w:r w:rsidR="003A11C2">
        <w:rPr>
          <w:rFonts w:ascii="Verdana" w:hAnsi="Verdana"/>
          <w:b/>
          <w:sz w:val="22"/>
          <w:szCs w:val="20"/>
        </w:rPr>
        <w:t xml:space="preserve">de </w:t>
      </w:r>
      <w:r w:rsidR="00DF3B93">
        <w:rPr>
          <w:rFonts w:ascii="Verdana" w:hAnsi="Verdana"/>
          <w:b/>
          <w:sz w:val="22"/>
          <w:szCs w:val="20"/>
        </w:rPr>
        <w:t>2020</w:t>
      </w:r>
    </w:p>
    <w:p w14:paraId="3788A556" w14:textId="77777777" w:rsidR="00873972" w:rsidRPr="003C58A7" w:rsidRDefault="00873972" w:rsidP="00B41CB3">
      <w:pPr>
        <w:rPr>
          <w:rFonts w:ascii="Verdana" w:hAnsi="Verdana"/>
          <w:sz w:val="22"/>
          <w:szCs w:val="20"/>
        </w:rPr>
      </w:pPr>
    </w:p>
    <w:tbl>
      <w:tblPr>
        <w:tblStyle w:val="Tablaconcuadrcula"/>
        <w:tblW w:w="0" w:type="auto"/>
        <w:tblLook w:val="04A0" w:firstRow="1" w:lastRow="0" w:firstColumn="1" w:lastColumn="0" w:noHBand="0" w:noVBand="1"/>
      </w:tblPr>
      <w:tblGrid>
        <w:gridCol w:w="6738"/>
        <w:gridCol w:w="6540"/>
      </w:tblGrid>
      <w:tr w:rsidR="000023EC" w:rsidRPr="003C58A7" w14:paraId="2641BF55" w14:textId="77777777" w:rsidTr="00FC7A61">
        <w:tc>
          <w:tcPr>
            <w:tcW w:w="0" w:type="auto"/>
            <w:shd w:val="clear" w:color="auto" w:fill="auto"/>
          </w:tcPr>
          <w:p w14:paraId="103B9A61" w14:textId="77777777" w:rsidR="00873972" w:rsidRPr="003C58A7" w:rsidRDefault="00873972" w:rsidP="00B41CB3">
            <w:pPr>
              <w:jc w:val="center"/>
              <w:rPr>
                <w:rFonts w:ascii="Verdana" w:hAnsi="Verdana"/>
                <w:b/>
                <w:sz w:val="22"/>
                <w:szCs w:val="20"/>
              </w:rPr>
            </w:pPr>
            <w:r w:rsidRPr="003C58A7">
              <w:rPr>
                <w:rFonts w:ascii="Verdana" w:hAnsi="Verdana"/>
                <w:b/>
                <w:sz w:val="22"/>
                <w:szCs w:val="20"/>
              </w:rPr>
              <w:t>C</w:t>
            </w:r>
            <w:r w:rsidR="00B71B75" w:rsidRPr="003C58A7">
              <w:rPr>
                <w:rFonts w:ascii="Verdana" w:hAnsi="Verdana"/>
                <w:b/>
                <w:sz w:val="22"/>
                <w:szCs w:val="20"/>
              </w:rPr>
              <w:t>ompromisos</w:t>
            </w:r>
          </w:p>
        </w:tc>
        <w:tc>
          <w:tcPr>
            <w:tcW w:w="0" w:type="auto"/>
            <w:shd w:val="clear" w:color="auto" w:fill="auto"/>
          </w:tcPr>
          <w:p w14:paraId="599E3AC7" w14:textId="77777777" w:rsidR="00873972" w:rsidRPr="003C58A7" w:rsidRDefault="00873972" w:rsidP="00B41CB3">
            <w:pPr>
              <w:jc w:val="center"/>
              <w:rPr>
                <w:rFonts w:ascii="Verdana" w:hAnsi="Verdana"/>
                <w:b/>
                <w:sz w:val="22"/>
                <w:szCs w:val="20"/>
              </w:rPr>
            </w:pPr>
            <w:r w:rsidRPr="003C58A7">
              <w:rPr>
                <w:rFonts w:ascii="Verdana" w:hAnsi="Verdana"/>
                <w:b/>
                <w:sz w:val="22"/>
                <w:szCs w:val="20"/>
              </w:rPr>
              <w:t>O</w:t>
            </w:r>
            <w:r w:rsidR="00B71B75" w:rsidRPr="003C58A7">
              <w:rPr>
                <w:rFonts w:ascii="Verdana" w:hAnsi="Verdana"/>
                <w:b/>
                <w:sz w:val="22"/>
                <w:szCs w:val="20"/>
              </w:rPr>
              <w:t>bligaciones</w:t>
            </w:r>
          </w:p>
        </w:tc>
      </w:tr>
      <w:tr w:rsidR="000023EC" w:rsidRPr="003C58A7" w14:paraId="7C3718D5" w14:textId="77777777" w:rsidTr="00FC7A61">
        <w:trPr>
          <w:trHeight w:val="43"/>
        </w:trPr>
        <w:tc>
          <w:tcPr>
            <w:tcW w:w="0" w:type="auto"/>
            <w:shd w:val="clear" w:color="auto" w:fill="auto"/>
            <w:vAlign w:val="center"/>
          </w:tcPr>
          <w:p w14:paraId="4355EDF4" w14:textId="77777777" w:rsidR="00A67EEC" w:rsidRPr="003C58A7" w:rsidRDefault="00A67EEC" w:rsidP="00A67EEC">
            <w:pPr>
              <w:jc w:val="both"/>
              <w:rPr>
                <w:rFonts w:ascii="Verdana" w:hAnsi="Verdana"/>
                <w:sz w:val="20"/>
                <w:szCs w:val="20"/>
              </w:rPr>
            </w:pPr>
            <w:r w:rsidRPr="003C58A7">
              <w:rPr>
                <w:rFonts w:ascii="Verdana" w:hAnsi="Verdana"/>
                <w:b/>
                <w:sz w:val="20"/>
                <w:szCs w:val="20"/>
              </w:rPr>
              <w:t>Indicador:</w:t>
            </w:r>
            <w:r w:rsidRPr="003C58A7">
              <w:rPr>
                <w:rFonts w:ascii="Verdana" w:hAnsi="Verdana"/>
                <w:sz w:val="20"/>
                <w:szCs w:val="20"/>
              </w:rPr>
              <w:t xml:space="preserve"> Ejecución Compromisos / Apropiación Vigente.</w:t>
            </w:r>
          </w:p>
          <w:p w14:paraId="52968DD2" w14:textId="0DFD5429" w:rsidR="00A67EEC" w:rsidRPr="003C58A7" w:rsidRDefault="00784A24" w:rsidP="00A67EEC">
            <w:pPr>
              <w:jc w:val="both"/>
              <w:rPr>
                <w:rFonts w:ascii="Verdana" w:hAnsi="Verdana"/>
                <w:sz w:val="20"/>
                <w:szCs w:val="20"/>
              </w:rPr>
            </w:pPr>
            <w:r w:rsidRPr="003C58A7">
              <w:rPr>
                <w:rFonts w:ascii="Verdana" w:hAnsi="Verdana"/>
                <w:b/>
                <w:sz w:val="20"/>
                <w:szCs w:val="20"/>
              </w:rPr>
              <w:t>Indicador:</w:t>
            </w:r>
            <w:r w:rsidR="00BD2AC2">
              <w:rPr>
                <w:rFonts w:ascii="Verdana" w:hAnsi="Verdana"/>
                <w:sz w:val="20"/>
                <w:szCs w:val="20"/>
              </w:rPr>
              <w:t xml:space="preserve"> </w:t>
            </w:r>
            <w:r w:rsidR="0055737F">
              <w:rPr>
                <w:rFonts w:ascii="Verdana" w:hAnsi="Verdana"/>
                <w:sz w:val="20"/>
                <w:szCs w:val="20"/>
              </w:rPr>
              <w:t>26.525</w:t>
            </w:r>
            <w:r w:rsidR="00B43E5F">
              <w:rPr>
                <w:rFonts w:ascii="Verdana" w:hAnsi="Verdana"/>
                <w:sz w:val="20"/>
                <w:szCs w:val="20"/>
              </w:rPr>
              <w:t>,</w:t>
            </w:r>
            <w:r w:rsidR="0055737F">
              <w:rPr>
                <w:rFonts w:ascii="Verdana" w:hAnsi="Verdana"/>
                <w:sz w:val="20"/>
                <w:szCs w:val="20"/>
              </w:rPr>
              <w:t>4</w:t>
            </w:r>
            <w:r w:rsidR="00A37772">
              <w:rPr>
                <w:rFonts w:ascii="Verdana" w:hAnsi="Verdana"/>
                <w:sz w:val="20"/>
                <w:szCs w:val="20"/>
              </w:rPr>
              <w:t xml:space="preserve"> </w:t>
            </w:r>
            <w:r w:rsidRPr="003C58A7">
              <w:rPr>
                <w:rFonts w:ascii="Verdana" w:hAnsi="Verdana"/>
                <w:sz w:val="20"/>
                <w:szCs w:val="20"/>
              </w:rPr>
              <w:t>/</w:t>
            </w:r>
            <w:r w:rsidR="00A37772">
              <w:rPr>
                <w:rFonts w:ascii="Verdana" w:hAnsi="Verdana"/>
                <w:sz w:val="20"/>
                <w:szCs w:val="20"/>
              </w:rPr>
              <w:t xml:space="preserve"> </w:t>
            </w:r>
            <w:r w:rsidR="00DF3B93">
              <w:rPr>
                <w:rFonts w:ascii="Verdana" w:hAnsi="Verdana"/>
                <w:sz w:val="20"/>
                <w:szCs w:val="20"/>
              </w:rPr>
              <w:t>62.956,0</w:t>
            </w:r>
            <w:r w:rsidRPr="003C58A7">
              <w:rPr>
                <w:rFonts w:ascii="Verdana" w:hAnsi="Verdana"/>
                <w:sz w:val="20"/>
                <w:szCs w:val="20"/>
              </w:rPr>
              <w:t xml:space="preserve"> </w:t>
            </w:r>
            <w:r w:rsidR="00BD2AC2">
              <w:rPr>
                <w:rFonts w:ascii="Verdana" w:hAnsi="Verdana"/>
                <w:sz w:val="20"/>
                <w:szCs w:val="20"/>
              </w:rPr>
              <w:t xml:space="preserve">= </w:t>
            </w:r>
            <w:r w:rsidR="0055737F">
              <w:rPr>
                <w:rFonts w:ascii="Verdana" w:hAnsi="Verdana"/>
                <w:sz w:val="20"/>
                <w:szCs w:val="20"/>
              </w:rPr>
              <w:t>42</w:t>
            </w:r>
            <w:r w:rsidR="005365D4">
              <w:rPr>
                <w:rFonts w:ascii="Verdana" w:hAnsi="Verdana"/>
                <w:sz w:val="20"/>
                <w:szCs w:val="20"/>
              </w:rPr>
              <w:t>,13</w:t>
            </w:r>
            <w:r w:rsidR="00A67EEC" w:rsidRPr="003C58A7">
              <w:rPr>
                <w:rFonts w:ascii="Verdana" w:hAnsi="Verdana"/>
                <w:sz w:val="20"/>
                <w:szCs w:val="20"/>
              </w:rPr>
              <w:t>%.</w:t>
            </w:r>
          </w:p>
          <w:p w14:paraId="74CB8581" w14:textId="77777777" w:rsidR="00A67EEC" w:rsidRPr="003C58A7" w:rsidRDefault="00A67EEC" w:rsidP="00A67EEC">
            <w:pPr>
              <w:jc w:val="both"/>
              <w:rPr>
                <w:rFonts w:ascii="Verdana" w:hAnsi="Verdana"/>
                <w:sz w:val="20"/>
                <w:szCs w:val="20"/>
              </w:rPr>
            </w:pPr>
          </w:p>
          <w:p w14:paraId="3ECDAC5C" w14:textId="4F3D24F8" w:rsidR="00CB005B" w:rsidRDefault="00A67EEC" w:rsidP="00691C73">
            <w:pPr>
              <w:jc w:val="both"/>
              <w:rPr>
                <w:rFonts w:ascii="Verdana" w:hAnsi="Verdana"/>
                <w:sz w:val="20"/>
                <w:szCs w:val="20"/>
              </w:rPr>
            </w:pPr>
            <w:r w:rsidRPr="00BB1369">
              <w:rPr>
                <w:rFonts w:ascii="Verdana" w:hAnsi="Verdana"/>
                <w:sz w:val="20"/>
                <w:szCs w:val="20"/>
              </w:rPr>
              <w:t xml:space="preserve">Con corte al </w:t>
            </w:r>
            <w:r w:rsidR="005365D4">
              <w:rPr>
                <w:rFonts w:ascii="Verdana" w:hAnsi="Verdana"/>
                <w:sz w:val="20"/>
                <w:szCs w:val="20"/>
              </w:rPr>
              <w:t xml:space="preserve">31 de </w:t>
            </w:r>
            <w:r w:rsidR="0055737F">
              <w:rPr>
                <w:rFonts w:ascii="Verdana" w:hAnsi="Verdana"/>
                <w:sz w:val="20"/>
                <w:szCs w:val="20"/>
              </w:rPr>
              <w:t>agosto</w:t>
            </w:r>
            <w:r w:rsidR="00586E06" w:rsidRPr="00BB1369">
              <w:rPr>
                <w:rFonts w:ascii="Verdana" w:hAnsi="Verdana"/>
                <w:sz w:val="20"/>
                <w:szCs w:val="20"/>
              </w:rPr>
              <w:t xml:space="preserve"> </w:t>
            </w:r>
            <w:r w:rsidR="00D807E9" w:rsidRPr="00BB1369">
              <w:rPr>
                <w:rFonts w:ascii="Verdana" w:hAnsi="Verdana"/>
                <w:sz w:val="20"/>
                <w:szCs w:val="20"/>
              </w:rPr>
              <w:t>de 20</w:t>
            </w:r>
            <w:r w:rsidR="002A3D8F" w:rsidRPr="00BB1369">
              <w:rPr>
                <w:rFonts w:ascii="Verdana" w:hAnsi="Verdana"/>
                <w:sz w:val="20"/>
                <w:szCs w:val="20"/>
              </w:rPr>
              <w:t>20</w:t>
            </w:r>
            <w:r w:rsidRPr="00BB1369">
              <w:rPr>
                <w:rFonts w:ascii="Verdana" w:hAnsi="Verdana"/>
                <w:sz w:val="20"/>
                <w:szCs w:val="20"/>
              </w:rPr>
              <w:t xml:space="preserve">, la ejecución presupuestal de la entidad fue del </w:t>
            </w:r>
            <w:r w:rsidR="0055737F">
              <w:rPr>
                <w:rFonts w:ascii="Verdana" w:hAnsi="Verdana"/>
                <w:sz w:val="20"/>
                <w:szCs w:val="20"/>
              </w:rPr>
              <w:t>42</w:t>
            </w:r>
            <w:r w:rsidR="005365D4">
              <w:rPr>
                <w:rFonts w:ascii="Verdana" w:hAnsi="Verdana"/>
                <w:sz w:val="20"/>
                <w:szCs w:val="20"/>
              </w:rPr>
              <w:t>,13</w:t>
            </w:r>
            <w:r w:rsidR="00A60D59" w:rsidRPr="003C58A7">
              <w:rPr>
                <w:rFonts w:ascii="Verdana" w:hAnsi="Verdana"/>
                <w:sz w:val="20"/>
                <w:szCs w:val="20"/>
              </w:rPr>
              <w:t>%</w:t>
            </w:r>
            <w:r w:rsidRPr="00BB1369">
              <w:rPr>
                <w:rFonts w:ascii="Verdana" w:hAnsi="Verdana"/>
                <w:sz w:val="20"/>
                <w:szCs w:val="20"/>
              </w:rPr>
              <w:t xml:space="preserve"> equivalente a </w:t>
            </w:r>
            <w:r w:rsidR="0055737F">
              <w:rPr>
                <w:rFonts w:ascii="Verdana" w:hAnsi="Verdana"/>
                <w:sz w:val="20"/>
                <w:szCs w:val="20"/>
              </w:rPr>
              <w:t>26.525</w:t>
            </w:r>
            <w:r w:rsidR="00A60D59">
              <w:rPr>
                <w:rFonts w:ascii="Verdana" w:hAnsi="Verdana"/>
                <w:sz w:val="20"/>
                <w:szCs w:val="20"/>
              </w:rPr>
              <w:t>,</w:t>
            </w:r>
            <w:r w:rsidR="0055737F">
              <w:rPr>
                <w:rFonts w:ascii="Verdana" w:hAnsi="Verdana"/>
                <w:sz w:val="20"/>
                <w:szCs w:val="20"/>
              </w:rPr>
              <w:t>4</w:t>
            </w:r>
            <w:r w:rsidR="00A60D59">
              <w:rPr>
                <w:rFonts w:ascii="Verdana" w:hAnsi="Verdana"/>
                <w:sz w:val="20"/>
                <w:szCs w:val="20"/>
              </w:rPr>
              <w:t xml:space="preserve"> </w:t>
            </w:r>
            <w:r w:rsidRPr="00BB1369">
              <w:rPr>
                <w:rFonts w:ascii="Verdana" w:hAnsi="Verdana"/>
                <w:sz w:val="20"/>
                <w:szCs w:val="20"/>
              </w:rPr>
              <w:t>millo</w:t>
            </w:r>
            <w:r w:rsidR="00733F8C" w:rsidRPr="00BB1369">
              <w:rPr>
                <w:rFonts w:ascii="Verdana" w:hAnsi="Verdana"/>
                <w:sz w:val="20"/>
                <w:szCs w:val="20"/>
              </w:rPr>
              <w:t xml:space="preserve">nes, frente a una meta del </w:t>
            </w:r>
            <w:r w:rsidR="0055737F">
              <w:rPr>
                <w:rFonts w:ascii="Verdana" w:hAnsi="Verdana"/>
                <w:sz w:val="20"/>
                <w:szCs w:val="20"/>
              </w:rPr>
              <w:t>47,10</w:t>
            </w:r>
            <w:r w:rsidR="00C94FE6" w:rsidRPr="00BB1369">
              <w:rPr>
                <w:rFonts w:ascii="Verdana" w:hAnsi="Verdana"/>
                <w:sz w:val="20"/>
                <w:szCs w:val="20"/>
              </w:rPr>
              <w:t xml:space="preserve">%, con un </w:t>
            </w:r>
            <w:r w:rsidR="005365D4">
              <w:rPr>
                <w:rFonts w:ascii="Verdana" w:hAnsi="Verdana"/>
                <w:sz w:val="20"/>
                <w:szCs w:val="20"/>
              </w:rPr>
              <w:t>déficit</w:t>
            </w:r>
            <w:r w:rsidRPr="00BB1369">
              <w:rPr>
                <w:rFonts w:ascii="Verdana" w:hAnsi="Verdana"/>
                <w:sz w:val="20"/>
                <w:szCs w:val="20"/>
              </w:rPr>
              <w:t xml:space="preserve"> de </w:t>
            </w:r>
            <w:r w:rsidR="0055737F">
              <w:rPr>
                <w:rFonts w:ascii="Verdana" w:hAnsi="Verdana"/>
                <w:sz w:val="20"/>
                <w:szCs w:val="20"/>
              </w:rPr>
              <w:t>3.130</w:t>
            </w:r>
            <w:r w:rsidR="000A0797" w:rsidRPr="00BB1369">
              <w:rPr>
                <w:rFonts w:ascii="Verdana" w:hAnsi="Verdana"/>
                <w:sz w:val="20"/>
                <w:szCs w:val="20"/>
              </w:rPr>
              <w:t>,</w:t>
            </w:r>
            <w:r w:rsidR="005365D4">
              <w:rPr>
                <w:rFonts w:ascii="Verdana" w:hAnsi="Verdana"/>
                <w:sz w:val="20"/>
                <w:szCs w:val="20"/>
              </w:rPr>
              <w:t>1</w:t>
            </w:r>
            <w:r w:rsidR="003725D8" w:rsidRPr="00BB1369">
              <w:rPr>
                <w:rFonts w:ascii="Verdana" w:hAnsi="Verdana"/>
                <w:sz w:val="20"/>
                <w:szCs w:val="20"/>
              </w:rPr>
              <w:t xml:space="preserve"> </w:t>
            </w:r>
            <w:r w:rsidRPr="00BB1369">
              <w:rPr>
                <w:rFonts w:ascii="Verdana" w:hAnsi="Verdana"/>
                <w:sz w:val="20"/>
                <w:szCs w:val="20"/>
              </w:rPr>
              <w:t>millones, el cual se explica de la siguiente manera:</w:t>
            </w:r>
          </w:p>
          <w:p w14:paraId="6BFCD989" w14:textId="77777777" w:rsidR="0055737F" w:rsidRPr="00BB1369" w:rsidRDefault="0055737F" w:rsidP="00691C73">
            <w:pPr>
              <w:jc w:val="both"/>
              <w:rPr>
                <w:rFonts w:ascii="Verdana" w:hAnsi="Verdana"/>
                <w:sz w:val="20"/>
                <w:szCs w:val="20"/>
              </w:rPr>
            </w:pPr>
          </w:p>
          <w:p w14:paraId="735A210E" w14:textId="77777777" w:rsidR="00CB005B" w:rsidRDefault="00A67EEC" w:rsidP="00691C73">
            <w:pPr>
              <w:jc w:val="both"/>
              <w:rPr>
                <w:rFonts w:ascii="Verdana" w:hAnsi="Verdana"/>
                <w:b/>
                <w:sz w:val="20"/>
                <w:szCs w:val="20"/>
                <w:u w:val="single"/>
              </w:rPr>
            </w:pPr>
            <w:r w:rsidRPr="00BB1369">
              <w:rPr>
                <w:rFonts w:ascii="Verdana" w:hAnsi="Verdana"/>
                <w:sz w:val="20"/>
                <w:szCs w:val="20"/>
              </w:rPr>
              <w:t xml:space="preserve"> </w:t>
            </w:r>
            <w:r w:rsidRPr="00BB1369">
              <w:rPr>
                <w:rFonts w:ascii="Verdana" w:hAnsi="Verdana"/>
                <w:b/>
                <w:sz w:val="20"/>
                <w:szCs w:val="20"/>
                <w:u w:val="single"/>
              </w:rPr>
              <w:t>A) Gastos de funcionamiento:</w:t>
            </w:r>
          </w:p>
          <w:p w14:paraId="63B31BE8" w14:textId="05768B60" w:rsidR="00CB005B" w:rsidRDefault="00A67EEC" w:rsidP="00691C73">
            <w:pPr>
              <w:jc w:val="both"/>
              <w:rPr>
                <w:rFonts w:ascii="Verdana" w:hAnsi="Verdana"/>
                <w:iCs/>
                <w:sz w:val="20"/>
                <w:szCs w:val="20"/>
                <w:lang w:val="es-ES"/>
              </w:rPr>
            </w:pPr>
            <w:r w:rsidRPr="009331E5">
              <w:rPr>
                <w:rFonts w:ascii="Verdana" w:hAnsi="Verdana"/>
                <w:sz w:val="20"/>
                <w:szCs w:val="20"/>
              </w:rPr>
              <w:t xml:space="preserve"> </w:t>
            </w:r>
            <w:r w:rsidR="000D3FEB" w:rsidRPr="009331E5">
              <w:rPr>
                <w:rFonts w:ascii="Verdana" w:hAnsi="Verdana"/>
                <w:iCs/>
                <w:sz w:val="20"/>
                <w:szCs w:val="20"/>
                <w:lang w:val="es-ES"/>
              </w:rPr>
              <w:t xml:space="preserve">1) </w:t>
            </w:r>
            <w:r w:rsidR="000A0797">
              <w:rPr>
                <w:rFonts w:ascii="Verdana" w:hAnsi="Verdana"/>
                <w:iCs/>
                <w:sz w:val="20"/>
                <w:szCs w:val="20"/>
                <w:lang w:val="es-ES"/>
              </w:rPr>
              <w:t>Superávit</w:t>
            </w:r>
            <w:r w:rsidRPr="009331E5">
              <w:rPr>
                <w:rFonts w:ascii="Verdana" w:hAnsi="Verdana"/>
                <w:iCs/>
                <w:sz w:val="20"/>
                <w:szCs w:val="20"/>
                <w:lang w:val="es-ES"/>
              </w:rPr>
              <w:t xml:space="preserve"> en ejecución de</w:t>
            </w:r>
            <w:r w:rsidR="009331E5" w:rsidRPr="009331E5">
              <w:rPr>
                <w:rFonts w:ascii="Verdana" w:hAnsi="Verdana"/>
                <w:iCs/>
                <w:sz w:val="20"/>
                <w:szCs w:val="20"/>
                <w:lang w:val="es-ES"/>
              </w:rPr>
              <w:t xml:space="preserve"> </w:t>
            </w:r>
            <w:r w:rsidR="00874665">
              <w:rPr>
                <w:rFonts w:ascii="Verdana" w:hAnsi="Verdana"/>
                <w:iCs/>
                <w:sz w:val="20"/>
                <w:szCs w:val="20"/>
                <w:lang w:val="es-ES"/>
              </w:rPr>
              <w:t xml:space="preserve">Gastos de Personal </w:t>
            </w:r>
            <w:r w:rsidR="000B4CFF">
              <w:rPr>
                <w:rFonts w:ascii="Verdana" w:hAnsi="Verdana"/>
                <w:iCs/>
                <w:sz w:val="20"/>
                <w:szCs w:val="20"/>
                <w:lang w:val="es-ES"/>
              </w:rPr>
              <w:t xml:space="preserve">por </w:t>
            </w:r>
            <w:r w:rsidR="0055737F">
              <w:rPr>
                <w:rFonts w:ascii="Verdana" w:hAnsi="Verdana"/>
                <w:iCs/>
                <w:sz w:val="20"/>
                <w:szCs w:val="20"/>
                <w:lang w:val="es-ES"/>
              </w:rPr>
              <w:t>403</w:t>
            </w:r>
            <w:r w:rsidR="000A0797">
              <w:rPr>
                <w:rFonts w:ascii="Verdana" w:hAnsi="Verdana"/>
                <w:iCs/>
                <w:sz w:val="20"/>
                <w:szCs w:val="20"/>
                <w:lang w:val="es-ES"/>
              </w:rPr>
              <w:t>,</w:t>
            </w:r>
            <w:r w:rsidR="0055737F">
              <w:rPr>
                <w:rFonts w:ascii="Verdana" w:hAnsi="Verdana"/>
                <w:iCs/>
                <w:sz w:val="20"/>
                <w:szCs w:val="20"/>
                <w:lang w:val="es-ES"/>
              </w:rPr>
              <w:t>6</w:t>
            </w:r>
            <w:r w:rsidR="009331E5">
              <w:rPr>
                <w:rFonts w:ascii="Verdana" w:hAnsi="Verdana"/>
                <w:iCs/>
                <w:sz w:val="20"/>
                <w:szCs w:val="20"/>
                <w:lang w:val="es-ES"/>
              </w:rPr>
              <w:t xml:space="preserve"> millones,</w:t>
            </w:r>
            <w:r w:rsidR="00874665">
              <w:rPr>
                <w:rFonts w:ascii="Verdana" w:hAnsi="Verdana"/>
                <w:iCs/>
                <w:sz w:val="20"/>
                <w:szCs w:val="20"/>
                <w:lang w:val="es-ES"/>
              </w:rPr>
              <w:t xml:space="preserve"> </w:t>
            </w:r>
            <w:r w:rsidR="00CB005B">
              <w:rPr>
                <w:rFonts w:ascii="Verdana" w:hAnsi="Verdana"/>
                <w:iCs/>
                <w:sz w:val="20"/>
                <w:szCs w:val="20"/>
                <w:lang w:val="es-ES"/>
              </w:rPr>
              <w:t>se cumplió la meta.</w:t>
            </w:r>
            <w:r w:rsidR="000A0797">
              <w:rPr>
                <w:rFonts w:ascii="Verdana" w:hAnsi="Verdana"/>
                <w:iCs/>
                <w:sz w:val="20"/>
                <w:szCs w:val="20"/>
                <w:lang w:val="es-ES"/>
              </w:rPr>
              <w:t xml:space="preserve"> </w:t>
            </w:r>
          </w:p>
          <w:p w14:paraId="36C27484" w14:textId="77135770" w:rsidR="00CB005B" w:rsidRDefault="00874665" w:rsidP="00691C73">
            <w:pPr>
              <w:jc w:val="both"/>
              <w:rPr>
                <w:rFonts w:ascii="Verdana" w:hAnsi="Verdana" w:cs="Arial"/>
                <w:sz w:val="20"/>
                <w:szCs w:val="20"/>
              </w:rPr>
            </w:pPr>
            <w:r>
              <w:rPr>
                <w:rFonts w:ascii="Verdana" w:hAnsi="Verdana"/>
                <w:iCs/>
                <w:sz w:val="20"/>
                <w:szCs w:val="20"/>
                <w:lang w:val="es-ES"/>
              </w:rPr>
              <w:t xml:space="preserve"> </w:t>
            </w:r>
            <w:r w:rsidR="009331E5" w:rsidRPr="00EF2BB4">
              <w:rPr>
                <w:rFonts w:ascii="Verdana" w:hAnsi="Verdana"/>
                <w:iCs/>
                <w:sz w:val="20"/>
                <w:szCs w:val="20"/>
                <w:lang w:val="es-ES"/>
              </w:rPr>
              <w:t>2</w:t>
            </w:r>
            <w:r w:rsidR="00A67EEC" w:rsidRPr="00EF2BB4">
              <w:rPr>
                <w:rFonts w:ascii="Verdana" w:hAnsi="Verdana"/>
                <w:iCs/>
                <w:sz w:val="20"/>
                <w:szCs w:val="20"/>
                <w:lang w:val="es-ES"/>
              </w:rPr>
              <w:t xml:space="preserve">) </w:t>
            </w:r>
            <w:r w:rsidR="000A0797" w:rsidRPr="00EF2BB4">
              <w:rPr>
                <w:rFonts w:ascii="Verdana" w:hAnsi="Verdana" w:cs="Arial"/>
                <w:sz w:val="20"/>
                <w:szCs w:val="20"/>
              </w:rPr>
              <w:t>Déficit</w:t>
            </w:r>
            <w:r w:rsidRPr="00EF2BB4">
              <w:rPr>
                <w:rFonts w:ascii="Verdana" w:hAnsi="Verdana" w:cs="Arial"/>
                <w:sz w:val="20"/>
                <w:szCs w:val="20"/>
              </w:rPr>
              <w:t xml:space="preserve"> en adquisición de bienes y servicios por </w:t>
            </w:r>
            <w:r w:rsidR="0055737F">
              <w:rPr>
                <w:rFonts w:ascii="Verdana" w:hAnsi="Verdana" w:cs="Arial"/>
                <w:sz w:val="20"/>
                <w:szCs w:val="20"/>
              </w:rPr>
              <w:t>309</w:t>
            </w:r>
            <w:r w:rsidR="005365D4" w:rsidRPr="00EF2BB4">
              <w:rPr>
                <w:rFonts w:ascii="Verdana" w:hAnsi="Verdana" w:cs="Arial"/>
                <w:sz w:val="20"/>
                <w:szCs w:val="20"/>
              </w:rPr>
              <w:t>,</w:t>
            </w:r>
            <w:r w:rsidR="0055737F">
              <w:rPr>
                <w:rFonts w:ascii="Verdana" w:hAnsi="Verdana" w:cs="Arial"/>
                <w:sz w:val="20"/>
                <w:szCs w:val="20"/>
              </w:rPr>
              <w:t>9</w:t>
            </w:r>
            <w:r w:rsidRPr="00EF2BB4">
              <w:rPr>
                <w:rFonts w:ascii="Verdana" w:hAnsi="Verdana" w:cs="Arial"/>
                <w:sz w:val="20"/>
                <w:szCs w:val="20"/>
              </w:rPr>
              <w:t xml:space="preserve"> millones,</w:t>
            </w:r>
            <w:r w:rsidR="00956B77" w:rsidRPr="00EF2BB4">
              <w:rPr>
                <w:rFonts w:ascii="Verdana" w:hAnsi="Verdana" w:cs="Arial"/>
                <w:sz w:val="20"/>
                <w:szCs w:val="20"/>
              </w:rPr>
              <w:t xml:space="preserve"> </w:t>
            </w:r>
            <w:r w:rsidR="0055737F" w:rsidRPr="0055737F">
              <w:rPr>
                <w:rFonts w:ascii="Verdana" w:hAnsi="Verdana" w:cs="Arial"/>
                <w:sz w:val="20"/>
                <w:szCs w:val="20"/>
              </w:rPr>
              <w:t>debido a que no se realizaron algunas contrataciones de los meses anteriores y estas se han replanteado para otros meses como la contratación de pólizas de la entidad hasta el mes de octubre se realizara un nuevo contrato. No se logró contratación de la capacitación en ISO 27001.</w:t>
            </w:r>
            <w:r w:rsidR="00CB005B">
              <w:rPr>
                <w:rFonts w:ascii="Verdana" w:hAnsi="Verdana" w:cs="Arial"/>
                <w:sz w:val="20"/>
                <w:szCs w:val="20"/>
              </w:rPr>
              <w:t xml:space="preserve">3) </w:t>
            </w:r>
            <w:r w:rsidR="0055737F" w:rsidRPr="0055737F">
              <w:rPr>
                <w:rFonts w:ascii="Verdana" w:hAnsi="Verdana" w:cs="Arial"/>
                <w:sz w:val="20"/>
                <w:szCs w:val="20"/>
              </w:rPr>
              <w:t>Superávit en la ejecución de transferencias corrientes por 1.919 millones de recursos del FOCAI</w:t>
            </w:r>
            <w:r w:rsidR="009E2C85">
              <w:rPr>
                <w:rFonts w:ascii="Verdana" w:hAnsi="Verdana" w:cs="Arial"/>
                <w:sz w:val="20"/>
                <w:szCs w:val="20"/>
              </w:rPr>
              <w:t xml:space="preserve"> ii</w:t>
            </w:r>
            <w:r w:rsidR="00470513" w:rsidRPr="0049603A">
              <w:rPr>
                <w:rFonts w:ascii="Verdana" w:hAnsi="Verdana" w:cs="Arial"/>
                <w:sz w:val="20"/>
                <w:szCs w:val="20"/>
              </w:rPr>
              <w:t xml:space="preserve">) </w:t>
            </w:r>
            <w:r w:rsidR="003353FB">
              <w:rPr>
                <w:rFonts w:ascii="Verdana" w:hAnsi="Verdana" w:cs="Arial"/>
                <w:sz w:val="20"/>
                <w:szCs w:val="20"/>
              </w:rPr>
              <w:t xml:space="preserve">se presentó </w:t>
            </w:r>
            <w:r w:rsidR="00F2219E">
              <w:rPr>
                <w:rFonts w:ascii="Verdana" w:hAnsi="Verdana" w:cs="Arial"/>
                <w:sz w:val="20"/>
                <w:szCs w:val="20"/>
              </w:rPr>
              <w:t>déficit</w:t>
            </w:r>
            <w:r w:rsidR="009E2C85">
              <w:rPr>
                <w:rFonts w:ascii="Verdana" w:hAnsi="Verdana" w:cs="Arial"/>
                <w:sz w:val="20"/>
                <w:szCs w:val="20"/>
              </w:rPr>
              <w:t xml:space="preserve"> de</w:t>
            </w:r>
            <w:r w:rsidR="003353FB">
              <w:rPr>
                <w:rFonts w:ascii="Verdana" w:hAnsi="Verdana" w:cs="Arial"/>
                <w:sz w:val="20"/>
                <w:szCs w:val="20"/>
              </w:rPr>
              <w:t xml:space="preserve"> </w:t>
            </w:r>
            <w:r w:rsidR="00F2219E">
              <w:rPr>
                <w:rFonts w:ascii="Verdana" w:hAnsi="Verdana" w:cs="Arial"/>
                <w:sz w:val="20"/>
                <w:szCs w:val="20"/>
              </w:rPr>
              <w:t>3</w:t>
            </w:r>
            <w:r w:rsidR="003C6BE9">
              <w:rPr>
                <w:rFonts w:ascii="Verdana" w:hAnsi="Verdana" w:cs="Arial"/>
                <w:sz w:val="20"/>
                <w:szCs w:val="20"/>
              </w:rPr>
              <w:t>,</w:t>
            </w:r>
            <w:r w:rsidR="009E2C85">
              <w:rPr>
                <w:rFonts w:ascii="Verdana" w:hAnsi="Verdana" w:cs="Arial"/>
                <w:sz w:val="20"/>
                <w:szCs w:val="20"/>
              </w:rPr>
              <w:t>9</w:t>
            </w:r>
            <w:r w:rsidR="009F2F39">
              <w:rPr>
                <w:rFonts w:ascii="Verdana" w:hAnsi="Verdana" w:cs="Arial"/>
                <w:sz w:val="20"/>
                <w:szCs w:val="20"/>
              </w:rPr>
              <w:t xml:space="preserve"> </w:t>
            </w:r>
            <w:r w:rsidR="009E2C85">
              <w:rPr>
                <w:rFonts w:ascii="Verdana" w:hAnsi="Verdana" w:cs="Arial"/>
                <w:sz w:val="20"/>
                <w:szCs w:val="20"/>
              </w:rPr>
              <w:t>mil pesos</w:t>
            </w:r>
            <w:r w:rsidR="003353FB">
              <w:rPr>
                <w:rFonts w:ascii="Verdana" w:hAnsi="Verdana" w:cs="Arial"/>
                <w:sz w:val="20"/>
                <w:szCs w:val="20"/>
              </w:rPr>
              <w:t xml:space="preserve"> de</w:t>
            </w:r>
            <w:r w:rsidR="009E3D48">
              <w:rPr>
                <w:rFonts w:ascii="Verdana" w:hAnsi="Verdana" w:cs="Arial"/>
                <w:sz w:val="20"/>
                <w:szCs w:val="20"/>
              </w:rPr>
              <w:t>l rubro</w:t>
            </w:r>
            <w:r w:rsidR="00470513">
              <w:rPr>
                <w:rFonts w:ascii="Verdana" w:hAnsi="Verdana" w:cs="Arial"/>
                <w:sz w:val="20"/>
                <w:szCs w:val="20"/>
              </w:rPr>
              <w:t xml:space="preserve"> de incapacidades y licencias de maternidad</w:t>
            </w:r>
            <w:r w:rsidR="00D9392B">
              <w:rPr>
                <w:rFonts w:ascii="Verdana" w:hAnsi="Verdana" w:cs="Arial"/>
                <w:sz w:val="20"/>
                <w:szCs w:val="20"/>
              </w:rPr>
              <w:t>,</w:t>
            </w:r>
            <w:r w:rsidR="00470513">
              <w:rPr>
                <w:rFonts w:ascii="Verdana" w:hAnsi="Verdana" w:cs="Arial"/>
                <w:sz w:val="20"/>
                <w:szCs w:val="20"/>
              </w:rPr>
              <w:t xml:space="preserve"> </w:t>
            </w:r>
            <w:r w:rsidR="003C6BE9">
              <w:rPr>
                <w:rFonts w:ascii="Verdana" w:hAnsi="Verdana" w:cs="Arial"/>
                <w:sz w:val="20"/>
                <w:szCs w:val="20"/>
              </w:rPr>
              <w:t>debido a que</w:t>
            </w:r>
            <w:r w:rsidR="009E3D48">
              <w:rPr>
                <w:rFonts w:ascii="Verdana" w:hAnsi="Verdana" w:cs="Arial"/>
                <w:sz w:val="20"/>
                <w:szCs w:val="20"/>
              </w:rPr>
              <w:t xml:space="preserve"> </w:t>
            </w:r>
            <w:r w:rsidR="00470513">
              <w:rPr>
                <w:rFonts w:ascii="Verdana" w:hAnsi="Verdana" w:cs="Arial"/>
                <w:sz w:val="20"/>
                <w:szCs w:val="20"/>
              </w:rPr>
              <w:t>este rubro</w:t>
            </w:r>
            <w:r w:rsidR="009E3D48">
              <w:rPr>
                <w:rFonts w:ascii="Verdana" w:hAnsi="Verdana" w:cs="Arial"/>
                <w:sz w:val="20"/>
                <w:szCs w:val="20"/>
              </w:rPr>
              <w:t xml:space="preserve"> </w:t>
            </w:r>
            <w:r w:rsidR="009E2C85">
              <w:rPr>
                <w:rFonts w:ascii="Verdana" w:hAnsi="Verdana" w:cs="Arial"/>
                <w:sz w:val="20"/>
                <w:szCs w:val="20"/>
              </w:rPr>
              <w:t>es variable</w:t>
            </w:r>
            <w:r w:rsidR="00470513" w:rsidRPr="00F14E61">
              <w:rPr>
                <w:rFonts w:ascii="Verdana" w:hAnsi="Verdana" w:cs="Arial"/>
                <w:sz w:val="20"/>
                <w:szCs w:val="20"/>
              </w:rPr>
              <w:t xml:space="preserve"> según las incapacidades y licencias que radican el talento humano</w:t>
            </w:r>
            <w:r w:rsidR="00CB005B">
              <w:rPr>
                <w:rFonts w:ascii="Verdana" w:hAnsi="Verdana" w:cs="Arial"/>
                <w:sz w:val="20"/>
                <w:szCs w:val="20"/>
              </w:rPr>
              <w:t>.</w:t>
            </w:r>
          </w:p>
          <w:p w14:paraId="5CFCCE08" w14:textId="77777777" w:rsidR="00CB005B" w:rsidRDefault="00CB005B" w:rsidP="00691C73">
            <w:pPr>
              <w:jc w:val="both"/>
              <w:rPr>
                <w:rFonts w:ascii="Verdana" w:hAnsi="Verdana" w:cs="Arial"/>
                <w:sz w:val="20"/>
                <w:szCs w:val="20"/>
              </w:rPr>
            </w:pPr>
          </w:p>
          <w:p w14:paraId="3D7407EF" w14:textId="2CC02939" w:rsidR="00AF267B" w:rsidRDefault="00874665" w:rsidP="006D212E">
            <w:pPr>
              <w:jc w:val="both"/>
              <w:rPr>
                <w:rFonts w:ascii="Verdana" w:hAnsi="Verdana"/>
                <w:sz w:val="20"/>
                <w:szCs w:val="20"/>
              </w:rPr>
            </w:pPr>
            <w:r w:rsidRPr="00F14E61">
              <w:rPr>
                <w:rFonts w:ascii="Verdana" w:hAnsi="Verdana" w:cs="Arial"/>
                <w:sz w:val="20"/>
                <w:szCs w:val="20"/>
              </w:rPr>
              <w:t xml:space="preserve"> </w:t>
            </w:r>
            <w:r w:rsidR="00A67EEC" w:rsidRPr="00F14E61">
              <w:rPr>
                <w:rFonts w:ascii="Verdana" w:hAnsi="Verdana"/>
                <w:b/>
                <w:sz w:val="20"/>
                <w:szCs w:val="20"/>
                <w:u w:val="single"/>
              </w:rPr>
              <w:t>B) Gastos de inversión:</w:t>
            </w:r>
            <w:r w:rsidR="00A67EEC" w:rsidRPr="00F14E61">
              <w:rPr>
                <w:rFonts w:ascii="Verdana" w:hAnsi="Verdana"/>
                <w:sz w:val="20"/>
                <w:szCs w:val="20"/>
              </w:rPr>
              <w:t xml:space="preserve"> </w:t>
            </w:r>
            <w:r w:rsidR="000749FF" w:rsidRPr="000749FF">
              <w:rPr>
                <w:rFonts w:ascii="Verdana" w:hAnsi="Verdana"/>
                <w:sz w:val="20"/>
                <w:szCs w:val="20"/>
              </w:rPr>
              <w:t xml:space="preserve">La ejecución en inversión tiene déficit de 5.136,7 millones debido a que, en el proyecto de Administración de Recursos, el convenio de donación con la Fundación Howard </w:t>
            </w:r>
            <w:r w:rsidR="007F51FA" w:rsidRPr="000749FF">
              <w:rPr>
                <w:rFonts w:ascii="Verdana" w:hAnsi="Verdana"/>
                <w:sz w:val="20"/>
                <w:szCs w:val="20"/>
              </w:rPr>
              <w:t>Buffet</w:t>
            </w:r>
            <w:r w:rsidR="000749FF" w:rsidRPr="000749FF">
              <w:rPr>
                <w:rFonts w:ascii="Verdana" w:hAnsi="Verdana"/>
                <w:sz w:val="20"/>
                <w:szCs w:val="20"/>
              </w:rPr>
              <w:t xml:space="preserve"> para realizar labores de infraestructura vial en el Catatumbo no se logró firmar, con cargo a estos recursos estaba previsto ejecutar $3.100.000.000, por lo anteriormente mencionado no se pudieron contratar los estudios y diseños estimados en este valor. De otra parte, la Brigada de </w:t>
            </w:r>
            <w:r w:rsidR="000749FF" w:rsidRPr="000749FF">
              <w:rPr>
                <w:rFonts w:ascii="Verdana" w:hAnsi="Verdana"/>
                <w:sz w:val="20"/>
                <w:szCs w:val="20"/>
              </w:rPr>
              <w:lastRenderedPageBreak/>
              <w:t>Desminado Humanitario no radicó oportunamente en APC-Colombia la solicitud de contratación de 6 procesos por valor de $1.828.000.000 que se debían realizar con recursos de la primera donación d</w:t>
            </w:r>
            <w:r w:rsidR="000749FF">
              <w:rPr>
                <w:rFonts w:ascii="Verdana" w:hAnsi="Verdana"/>
                <w:sz w:val="20"/>
                <w:szCs w:val="20"/>
              </w:rPr>
              <w:t xml:space="preserve">e la Fundación Howard Buffet. </w:t>
            </w:r>
            <w:r w:rsidR="000749FF" w:rsidRPr="000749FF">
              <w:rPr>
                <w:rFonts w:ascii="Verdana" w:hAnsi="Verdana"/>
                <w:sz w:val="20"/>
                <w:szCs w:val="20"/>
              </w:rPr>
              <w:t xml:space="preserve">Una contratación prevista con recursos de la Unión Europea por $120.000.000 no se pudo realizar, la prórroga del convenio de donación sólo llegó hasta el 15 de agosto. De recursos donados por la CAF quedaron pendientes de ejecutar $88.724.446 porque el funcionario de APC-Colombia que debía ir a Santa Marta a verificar las instalaciones de los equipos que se iban a adquirir no pudo hacerlo. </w:t>
            </w:r>
          </w:p>
          <w:p w14:paraId="0CAE0EB4" w14:textId="77777777" w:rsidR="000749FF" w:rsidRDefault="000749FF" w:rsidP="006D212E">
            <w:pPr>
              <w:jc w:val="both"/>
              <w:rPr>
                <w:rFonts w:ascii="Verdana" w:hAnsi="Verdana"/>
                <w:sz w:val="20"/>
                <w:szCs w:val="20"/>
              </w:rPr>
            </w:pPr>
          </w:p>
          <w:p w14:paraId="3E430105" w14:textId="0B332CD5" w:rsidR="00464CE7" w:rsidRPr="00ED6E49" w:rsidRDefault="00E279ED" w:rsidP="00A67EEC">
            <w:pPr>
              <w:jc w:val="both"/>
              <w:rPr>
                <w:rFonts w:ascii="Verdana" w:hAnsi="Verdana"/>
                <w:sz w:val="20"/>
                <w:szCs w:val="20"/>
              </w:rPr>
            </w:pPr>
            <w:r w:rsidRPr="002D1ED3">
              <w:rPr>
                <w:rFonts w:ascii="Verdana" w:hAnsi="Verdana"/>
                <w:sz w:val="20"/>
              </w:rPr>
              <w:t xml:space="preserve">El </w:t>
            </w:r>
            <w:r w:rsidR="0046016B" w:rsidRPr="002D1ED3">
              <w:rPr>
                <w:rFonts w:ascii="Verdana" w:hAnsi="Verdana"/>
                <w:sz w:val="20"/>
              </w:rPr>
              <w:t>69,14</w:t>
            </w:r>
            <w:r w:rsidRPr="002D1ED3">
              <w:rPr>
                <w:rFonts w:ascii="Verdana" w:hAnsi="Verdana"/>
                <w:sz w:val="20"/>
              </w:rPr>
              <w:t xml:space="preserve">% de la ejecución corresponde a los gastos de funcionamiento y el </w:t>
            </w:r>
            <w:r w:rsidR="0046016B" w:rsidRPr="002D1ED3">
              <w:rPr>
                <w:rFonts w:ascii="Verdana" w:hAnsi="Verdana"/>
                <w:sz w:val="20"/>
              </w:rPr>
              <w:t>30,86</w:t>
            </w:r>
            <w:r w:rsidRPr="002D1ED3">
              <w:rPr>
                <w:rFonts w:ascii="Verdana" w:hAnsi="Verdana"/>
                <w:sz w:val="20"/>
              </w:rPr>
              <w:t>% a los gastos de inversión.</w:t>
            </w:r>
          </w:p>
          <w:p w14:paraId="2B8AE5A6" w14:textId="77777777" w:rsidR="00E279ED" w:rsidRPr="00ED6E49" w:rsidRDefault="00E279ED" w:rsidP="00A67EEC">
            <w:pPr>
              <w:jc w:val="both"/>
              <w:rPr>
                <w:rFonts w:ascii="Verdana" w:hAnsi="Verdana"/>
                <w:sz w:val="20"/>
                <w:szCs w:val="20"/>
              </w:rPr>
            </w:pPr>
          </w:p>
          <w:p w14:paraId="0A98DA10" w14:textId="77777777" w:rsidR="00A67EEC" w:rsidRPr="004D5B1A" w:rsidRDefault="00A67EEC" w:rsidP="00A67EEC">
            <w:pPr>
              <w:jc w:val="both"/>
              <w:rPr>
                <w:rFonts w:ascii="Verdana" w:hAnsi="Verdana"/>
                <w:sz w:val="20"/>
                <w:szCs w:val="20"/>
              </w:rPr>
            </w:pPr>
            <w:r w:rsidRPr="00ED6E49">
              <w:rPr>
                <w:rFonts w:ascii="Verdana" w:hAnsi="Verdana"/>
                <w:sz w:val="20"/>
                <w:szCs w:val="20"/>
              </w:rPr>
              <w:t>La ejecución de los gastos de funcionamiento estuvo distribuida de la siguiente manera:</w:t>
            </w:r>
            <w:r w:rsidRPr="004D5B1A">
              <w:rPr>
                <w:rFonts w:ascii="Verdana" w:hAnsi="Verdana"/>
                <w:sz w:val="20"/>
                <w:szCs w:val="20"/>
              </w:rPr>
              <w:t xml:space="preserve"> </w:t>
            </w:r>
          </w:p>
          <w:p w14:paraId="24F2599A" w14:textId="77777777" w:rsidR="00A67EEC" w:rsidRPr="009B7746" w:rsidRDefault="00A67EEC" w:rsidP="00A67EEC">
            <w:pPr>
              <w:jc w:val="both"/>
              <w:rPr>
                <w:rFonts w:ascii="Verdana" w:hAnsi="Verdana"/>
                <w:sz w:val="20"/>
                <w:szCs w:val="20"/>
                <w:highlight w:val="yellow"/>
              </w:rPr>
            </w:pPr>
          </w:p>
          <w:p w14:paraId="00642EDC" w14:textId="710F6FBE" w:rsidR="00A2238C" w:rsidRPr="000139BE" w:rsidRDefault="00A2238C" w:rsidP="00A2238C">
            <w:pPr>
              <w:jc w:val="both"/>
              <w:rPr>
                <w:rFonts w:ascii="Verdana" w:hAnsi="Verdana" w:cs="Arial"/>
                <w:sz w:val="20"/>
                <w:szCs w:val="20"/>
              </w:rPr>
            </w:pPr>
            <w:r w:rsidRPr="000139BE">
              <w:rPr>
                <w:rFonts w:ascii="Verdana" w:hAnsi="Verdana" w:cs="Arial"/>
                <w:sz w:val="20"/>
                <w:szCs w:val="20"/>
              </w:rPr>
              <w:t xml:space="preserve">1) Los gastos de personal representan el </w:t>
            </w:r>
            <w:r w:rsidR="0046016B">
              <w:rPr>
                <w:rFonts w:ascii="Verdana" w:hAnsi="Verdana" w:cs="Arial"/>
                <w:sz w:val="20"/>
                <w:szCs w:val="20"/>
              </w:rPr>
              <w:t>32,06</w:t>
            </w:r>
            <w:r w:rsidRPr="000139BE">
              <w:rPr>
                <w:rFonts w:ascii="Verdana" w:hAnsi="Verdana" w:cs="Arial"/>
                <w:sz w:val="20"/>
                <w:szCs w:val="20"/>
              </w:rPr>
              <w:t>%.</w:t>
            </w:r>
          </w:p>
          <w:p w14:paraId="1E664D18" w14:textId="55AE8C60" w:rsidR="00A2238C" w:rsidRPr="000139BE" w:rsidRDefault="00A2238C" w:rsidP="00A2238C">
            <w:pPr>
              <w:jc w:val="both"/>
              <w:rPr>
                <w:rFonts w:ascii="Verdana" w:hAnsi="Verdana" w:cs="Arial"/>
                <w:sz w:val="20"/>
                <w:szCs w:val="20"/>
              </w:rPr>
            </w:pPr>
            <w:r w:rsidRPr="000139BE">
              <w:rPr>
                <w:rFonts w:ascii="Verdana" w:hAnsi="Verdana" w:cs="Arial"/>
                <w:sz w:val="20"/>
                <w:szCs w:val="20"/>
              </w:rPr>
              <w:t xml:space="preserve">2) Los gastos por adquisición de bienes y servicios representan el </w:t>
            </w:r>
            <w:r w:rsidR="0046016B">
              <w:rPr>
                <w:rFonts w:ascii="Verdana" w:hAnsi="Verdana" w:cs="Arial"/>
                <w:sz w:val="20"/>
                <w:szCs w:val="20"/>
              </w:rPr>
              <w:t>15,82</w:t>
            </w:r>
            <w:r w:rsidRPr="000139BE">
              <w:rPr>
                <w:rFonts w:ascii="Verdana" w:hAnsi="Verdana" w:cs="Arial"/>
                <w:sz w:val="20"/>
                <w:szCs w:val="20"/>
              </w:rPr>
              <w:t>%.</w:t>
            </w:r>
          </w:p>
          <w:p w14:paraId="55A85AC6" w14:textId="34576F53" w:rsidR="00A2238C" w:rsidRDefault="0012189C" w:rsidP="00A2238C">
            <w:pPr>
              <w:jc w:val="both"/>
              <w:rPr>
                <w:rFonts w:ascii="Verdana" w:hAnsi="Verdana" w:cs="Arial"/>
                <w:sz w:val="20"/>
                <w:szCs w:val="20"/>
              </w:rPr>
            </w:pPr>
            <w:r>
              <w:rPr>
                <w:rFonts w:ascii="Verdana" w:hAnsi="Verdana" w:cs="Arial"/>
                <w:sz w:val="20"/>
                <w:szCs w:val="20"/>
              </w:rPr>
              <w:t>3)</w:t>
            </w:r>
            <w:r w:rsidRPr="000139BE">
              <w:rPr>
                <w:rFonts w:ascii="Verdana" w:hAnsi="Verdana" w:cs="Arial"/>
                <w:sz w:val="20"/>
                <w:szCs w:val="20"/>
              </w:rPr>
              <w:t xml:space="preserve"> Los</w:t>
            </w:r>
            <w:r w:rsidR="00A2238C" w:rsidRPr="000139BE">
              <w:rPr>
                <w:rFonts w:ascii="Verdana" w:hAnsi="Verdana" w:cs="Arial"/>
                <w:sz w:val="20"/>
                <w:szCs w:val="20"/>
              </w:rPr>
              <w:t xml:space="preserve"> gastos de transferencias corrientes representan el </w:t>
            </w:r>
            <w:r w:rsidR="0046016B">
              <w:rPr>
                <w:rFonts w:ascii="Verdana" w:hAnsi="Verdana" w:cs="Arial"/>
                <w:sz w:val="20"/>
                <w:szCs w:val="20"/>
              </w:rPr>
              <w:t>52,11</w:t>
            </w:r>
            <w:r w:rsidR="00A2238C" w:rsidRPr="000139BE">
              <w:rPr>
                <w:rFonts w:ascii="Verdana" w:hAnsi="Verdana" w:cs="Arial"/>
                <w:sz w:val="20"/>
                <w:szCs w:val="20"/>
              </w:rPr>
              <w:t xml:space="preserve">%, el </w:t>
            </w:r>
            <w:r w:rsidR="0046016B">
              <w:rPr>
                <w:rFonts w:ascii="Verdana" w:hAnsi="Verdana" w:cs="Arial"/>
                <w:sz w:val="20"/>
                <w:szCs w:val="20"/>
              </w:rPr>
              <w:t>52,00</w:t>
            </w:r>
            <w:r w:rsidR="00A2238C" w:rsidRPr="000139BE">
              <w:rPr>
                <w:rFonts w:ascii="Verdana" w:hAnsi="Verdana" w:cs="Arial"/>
                <w:sz w:val="20"/>
                <w:szCs w:val="20"/>
              </w:rPr>
              <w:t xml:space="preserve">% correspondientes a gastos del Fondo de Cooperación y Asistencia Internacional – FOCAI Y el </w:t>
            </w:r>
            <w:r>
              <w:rPr>
                <w:rFonts w:ascii="Verdana" w:hAnsi="Verdana" w:cs="Arial"/>
                <w:sz w:val="20"/>
                <w:szCs w:val="20"/>
              </w:rPr>
              <w:t>0,</w:t>
            </w:r>
            <w:r w:rsidR="0046016B">
              <w:rPr>
                <w:rFonts w:ascii="Verdana" w:hAnsi="Verdana" w:cs="Arial"/>
                <w:sz w:val="20"/>
                <w:szCs w:val="20"/>
              </w:rPr>
              <w:t>11</w:t>
            </w:r>
            <w:r w:rsidR="00A2238C" w:rsidRPr="000139BE">
              <w:rPr>
                <w:rFonts w:ascii="Verdana" w:hAnsi="Verdana" w:cs="Arial"/>
                <w:sz w:val="20"/>
                <w:szCs w:val="20"/>
              </w:rPr>
              <w:t>% a Incapacidades y Licencias de maternidad y paternidad.</w:t>
            </w:r>
          </w:p>
          <w:p w14:paraId="36AF49FA" w14:textId="27103519" w:rsidR="0012189C" w:rsidRPr="000139BE" w:rsidRDefault="0012189C" w:rsidP="00A2238C">
            <w:pPr>
              <w:jc w:val="both"/>
              <w:rPr>
                <w:rFonts w:ascii="Verdana" w:hAnsi="Verdana" w:cs="Arial"/>
                <w:sz w:val="20"/>
                <w:szCs w:val="20"/>
              </w:rPr>
            </w:pPr>
            <w:r>
              <w:rPr>
                <w:rFonts w:ascii="Verdana" w:hAnsi="Verdana" w:cs="Arial"/>
                <w:sz w:val="20"/>
                <w:szCs w:val="20"/>
              </w:rPr>
              <w:t xml:space="preserve">4) Los gastos </w:t>
            </w:r>
            <w:r w:rsidRPr="0012189C">
              <w:rPr>
                <w:rFonts w:ascii="Verdana" w:hAnsi="Verdana" w:cs="Arial"/>
                <w:sz w:val="20"/>
                <w:szCs w:val="20"/>
              </w:rPr>
              <w:t>por tributos, multas, sanciones e intereses de mora</w:t>
            </w:r>
            <w:r>
              <w:rPr>
                <w:rFonts w:ascii="Verdana" w:hAnsi="Verdana" w:cs="Arial"/>
                <w:sz w:val="20"/>
                <w:szCs w:val="20"/>
              </w:rPr>
              <w:t xml:space="preserve"> presentan el 0,0</w:t>
            </w:r>
            <w:r w:rsidR="00134AA2">
              <w:rPr>
                <w:rFonts w:ascii="Verdana" w:hAnsi="Verdana" w:cs="Arial"/>
                <w:sz w:val="20"/>
                <w:szCs w:val="20"/>
              </w:rPr>
              <w:t>1</w:t>
            </w:r>
            <w:r>
              <w:rPr>
                <w:rFonts w:ascii="Verdana" w:hAnsi="Verdana" w:cs="Arial"/>
                <w:sz w:val="20"/>
                <w:szCs w:val="20"/>
              </w:rPr>
              <w:t>%.</w:t>
            </w:r>
          </w:p>
          <w:p w14:paraId="7DB5D2CF" w14:textId="77777777" w:rsidR="00A67EEC" w:rsidRPr="009B7746" w:rsidRDefault="00A67EEC" w:rsidP="00A67EEC">
            <w:pPr>
              <w:jc w:val="both"/>
              <w:rPr>
                <w:rFonts w:ascii="Verdana" w:hAnsi="Verdana"/>
                <w:sz w:val="20"/>
                <w:szCs w:val="20"/>
                <w:highlight w:val="yellow"/>
              </w:rPr>
            </w:pPr>
          </w:p>
          <w:p w14:paraId="43654AFB" w14:textId="3C638906" w:rsidR="00A67EEC" w:rsidRDefault="00A67EEC" w:rsidP="00A67EEC">
            <w:pPr>
              <w:jc w:val="both"/>
              <w:rPr>
                <w:rFonts w:ascii="Verdana" w:hAnsi="Verdana"/>
                <w:sz w:val="20"/>
                <w:szCs w:val="20"/>
              </w:rPr>
            </w:pPr>
            <w:r w:rsidRPr="00B176DD">
              <w:rPr>
                <w:rFonts w:ascii="Verdana" w:hAnsi="Verdana"/>
                <w:sz w:val="20"/>
                <w:szCs w:val="20"/>
              </w:rPr>
              <w:t xml:space="preserve">La ejecución de los gastos de inversión estuvo distribuida así: </w:t>
            </w:r>
          </w:p>
          <w:p w14:paraId="518C90B5" w14:textId="72DEF1A5" w:rsidR="008D300B" w:rsidRPr="00B176DD" w:rsidRDefault="008D300B" w:rsidP="00A67EEC">
            <w:pPr>
              <w:jc w:val="both"/>
              <w:rPr>
                <w:rFonts w:ascii="Verdana" w:hAnsi="Verdana"/>
                <w:sz w:val="20"/>
                <w:szCs w:val="20"/>
              </w:rPr>
            </w:pPr>
            <w:r>
              <w:rPr>
                <w:rFonts w:ascii="Verdana" w:hAnsi="Verdana"/>
                <w:sz w:val="20"/>
                <w:szCs w:val="20"/>
              </w:rPr>
              <w:t xml:space="preserve">1)Recursos de Contrapartida Nacional con el </w:t>
            </w:r>
            <w:r w:rsidR="0046016B">
              <w:rPr>
                <w:rFonts w:ascii="Verdana" w:hAnsi="Verdana"/>
                <w:sz w:val="20"/>
                <w:szCs w:val="20"/>
              </w:rPr>
              <w:t>14,74</w:t>
            </w:r>
            <w:r>
              <w:rPr>
                <w:rFonts w:ascii="Verdana" w:hAnsi="Verdana"/>
                <w:sz w:val="20"/>
                <w:szCs w:val="20"/>
              </w:rPr>
              <w:t xml:space="preserve">% de la ejecución en inversión, equivalente a </w:t>
            </w:r>
            <w:r w:rsidR="0046016B">
              <w:rPr>
                <w:rFonts w:ascii="Verdana" w:hAnsi="Verdana"/>
                <w:sz w:val="20"/>
                <w:szCs w:val="20"/>
              </w:rPr>
              <w:t>1.206</w:t>
            </w:r>
            <w:r>
              <w:rPr>
                <w:rFonts w:ascii="Verdana" w:hAnsi="Verdana"/>
                <w:sz w:val="20"/>
                <w:szCs w:val="20"/>
              </w:rPr>
              <w:t>,</w:t>
            </w:r>
            <w:r w:rsidR="0046016B">
              <w:rPr>
                <w:rFonts w:ascii="Verdana" w:hAnsi="Verdana"/>
                <w:sz w:val="20"/>
                <w:szCs w:val="20"/>
              </w:rPr>
              <w:t>4</w:t>
            </w:r>
            <w:r>
              <w:rPr>
                <w:rFonts w:ascii="Verdana" w:hAnsi="Verdana"/>
                <w:sz w:val="20"/>
                <w:szCs w:val="20"/>
              </w:rPr>
              <w:t xml:space="preserve"> millones, para la ejecución de</w:t>
            </w:r>
            <w:r w:rsidR="00D91295">
              <w:rPr>
                <w:rFonts w:ascii="Verdana" w:hAnsi="Verdana"/>
                <w:sz w:val="20"/>
                <w:szCs w:val="20"/>
              </w:rPr>
              <w:t>l</w:t>
            </w:r>
            <w:r>
              <w:rPr>
                <w:rFonts w:ascii="Verdana" w:hAnsi="Verdana"/>
                <w:sz w:val="20"/>
                <w:szCs w:val="20"/>
              </w:rPr>
              <w:t xml:space="preserve"> </w:t>
            </w:r>
            <w:r w:rsidRPr="008D300B">
              <w:rPr>
                <w:rFonts w:ascii="Verdana" w:hAnsi="Verdana"/>
                <w:sz w:val="20"/>
                <w:szCs w:val="20"/>
              </w:rPr>
              <w:t xml:space="preserve">Fondo Para La Acción Ambiental Y La </w:t>
            </w:r>
            <w:r w:rsidR="0046016B" w:rsidRPr="008D300B">
              <w:rPr>
                <w:rFonts w:ascii="Verdana" w:hAnsi="Verdana"/>
                <w:sz w:val="20"/>
                <w:szCs w:val="20"/>
              </w:rPr>
              <w:t>Niñez</w:t>
            </w:r>
            <w:r w:rsidR="0046016B">
              <w:rPr>
                <w:rFonts w:ascii="Verdana" w:hAnsi="Verdana"/>
                <w:sz w:val="20"/>
                <w:szCs w:val="20"/>
              </w:rPr>
              <w:t xml:space="preserve">, Convenio </w:t>
            </w:r>
            <w:r w:rsidR="0046016B" w:rsidRPr="0046016B">
              <w:rPr>
                <w:rFonts w:ascii="Verdana" w:hAnsi="Verdana"/>
                <w:sz w:val="20"/>
                <w:szCs w:val="20"/>
              </w:rPr>
              <w:t>Federación Campesina Del Cauca F.C.C</w:t>
            </w:r>
            <w:r w:rsidR="0046016B">
              <w:rPr>
                <w:rFonts w:ascii="Verdana" w:hAnsi="Verdana"/>
                <w:sz w:val="20"/>
                <w:szCs w:val="20"/>
              </w:rPr>
              <w:t xml:space="preserve">, Convenio </w:t>
            </w:r>
            <w:r w:rsidR="0046016B" w:rsidRPr="0046016B">
              <w:rPr>
                <w:rFonts w:ascii="Verdana" w:hAnsi="Verdana"/>
                <w:sz w:val="20"/>
                <w:szCs w:val="20"/>
              </w:rPr>
              <w:t>Corporación Parque Tecnológico De Innovación Del Café Y Su Caficultura</w:t>
            </w:r>
            <w:r w:rsidR="0046016B">
              <w:rPr>
                <w:rFonts w:ascii="Verdana" w:hAnsi="Verdana"/>
                <w:sz w:val="20"/>
                <w:szCs w:val="20"/>
              </w:rPr>
              <w:t xml:space="preserve"> y Convenio con la </w:t>
            </w:r>
            <w:r w:rsidR="0046016B" w:rsidRPr="0046016B">
              <w:rPr>
                <w:rFonts w:ascii="Verdana" w:hAnsi="Verdana"/>
                <w:sz w:val="20"/>
                <w:szCs w:val="20"/>
              </w:rPr>
              <w:t>Fundación Corona</w:t>
            </w:r>
            <w:r w:rsidR="0046016B">
              <w:rPr>
                <w:rFonts w:ascii="Verdana" w:hAnsi="Verdana"/>
                <w:sz w:val="20"/>
                <w:szCs w:val="20"/>
              </w:rPr>
              <w:t>.</w:t>
            </w:r>
          </w:p>
          <w:p w14:paraId="1FFA5BB9" w14:textId="77777777" w:rsidR="00A67EEC" w:rsidRPr="009B7746" w:rsidRDefault="00A67EEC" w:rsidP="00A67EEC">
            <w:pPr>
              <w:jc w:val="both"/>
              <w:rPr>
                <w:rFonts w:ascii="Verdana" w:hAnsi="Verdana"/>
                <w:sz w:val="20"/>
                <w:szCs w:val="20"/>
                <w:highlight w:val="yellow"/>
              </w:rPr>
            </w:pPr>
          </w:p>
          <w:p w14:paraId="629D8832" w14:textId="7A31E9C5" w:rsidR="00A67EEC" w:rsidRPr="00B176DD" w:rsidRDefault="00A67EEC" w:rsidP="00A67EEC">
            <w:pPr>
              <w:jc w:val="both"/>
              <w:rPr>
                <w:rFonts w:ascii="Verdana" w:hAnsi="Verdana"/>
                <w:sz w:val="20"/>
                <w:szCs w:val="20"/>
              </w:rPr>
            </w:pPr>
            <w:r w:rsidRPr="00B176DD">
              <w:rPr>
                <w:rFonts w:ascii="Verdana" w:hAnsi="Verdana"/>
                <w:sz w:val="20"/>
                <w:szCs w:val="20"/>
              </w:rPr>
              <w:lastRenderedPageBreak/>
              <w:t xml:space="preserve">1) Administración de Recursos de Cooperación con el </w:t>
            </w:r>
            <w:r w:rsidR="000A230A">
              <w:rPr>
                <w:rFonts w:ascii="Verdana" w:hAnsi="Verdana"/>
                <w:sz w:val="20"/>
                <w:szCs w:val="20"/>
              </w:rPr>
              <w:t>78,88</w:t>
            </w:r>
            <w:r w:rsidRPr="00B176DD">
              <w:rPr>
                <w:rFonts w:ascii="Verdana" w:hAnsi="Verdana"/>
                <w:sz w:val="20"/>
                <w:szCs w:val="20"/>
              </w:rPr>
              <w:t xml:space="preserve">% de la ejecución en inversión, equivalente a </w:t>
            </w:r>
            <w:r w:rsidR="000A230A">
              <w:rPr>
                <w:rFonts w:ascii="Verdana" w:hAnsi="Verdana"/>
                <w:sz w:val="20"/>
                <w:szCs w:val="20"/>
              </w:rPr>
              <w:t>6.456,9</w:t>
            </w:r>
            <w:r w:rsidRPr="00B176DD">
              <w:rPr>
                <w:rFonts w:ascii="Verdana" w:hAnsi="Verdana"/>
                <w:sz w:val="20"/>
                <w:szCs w:val="20"/>
              </w:rPr>
              <w:t xml:space="preserve"> millones, distribuidos así: </w:t>
            </w:r>
          </w:p>
          <w:p w14:paraId="507EC4A6" w14:textId="77777777" w:rsidR="00A67EEC" w:rsidRPr="00B176DD" w:rsidRDefault="00A67EEC" w:rsidP="00A67EEC">
            <w:pPr>
              <w:jc w:val="both"/>
              <w:rPr>
                <w:rFonts w:ascii="Verdana" w:hAnsi="Verdana"/>
                <w:sz w:val="20"/>
                <w:szCs w:val="20"/>
              </w:rPr>
            </w:pPr>
          </w:p>
          <w:p w14:paraId="2A4AF005" w14:textId="4E67EA06" w:rsidR="00EA37E9" w:rsidRPr="00EA37E9" w:rsidRDefault="0046016B" w:rsidP="00AA61BB">
            <w:pPr>
              <w:pStyle w:val="Prrafodelista"/>
              <w:numPr>
                <w:ilvl w:val="0"/>
                <w:numId w:val="16"/>
              </w:numPr>
              <w:jc w:val="both"/>
              <w:rPr>
                <w:rFonts w:ascii="Verdana" w:hAnsi="Verdana"/>
                <w:sz w:val="20"/>
                <w:szCs w:val="20"/>
              </w:rPr>
            </w:pPr>
            <w:r>
              <w:rPr>
                <w:rFonts w:ascii="Verdana" w:hAnsi="Verdana"/>
                <w:sz w:val="20"/>
                <w:szCs w:val="20"/>
              </w:rPr>
              <w:t>458</w:t>
            </w:r>
            <w:r w:rsidR="0012189C">
              <w:rPr>
                <w:rFonts w:ascii="Verdana" w:hAnsi="Verdana"/>
                <w:sz w:val="20"/>
                <w:szCs w:val="20"/>
              </w:rPr>
              <w:t>,</w:t>
            </w:r>
            <w:r>
              <w:rPr>
                <w:rFonts w:ascii="Verdana" w:hAnsi="Verdana"/>
                <w:sz w:val="20"/>
                <w:szCs w:val="20"/>
              </w:rPr>
              <w:t>2</w:t>
            </w:r>
            <w:r w:rsidR="00BA6542" w:rsidRPr="00EA37E9">
              <w:rPr>
                <w:rFonts w:ascii="Verdana" w:hAnsi="Verdana"/>
                <w:sz w:val="20"/>
                <w:szCs w:val="20"/>
              </w:rPr>
              <w:t xml:space="preserve"> mil</w:t>
            </w:r>
            <w:r w:rsidR="00EA37E9">
              <w:rPr>
                <w:rFonts w:ascii="Verdana" w:hAnsi="Verdana"/>
                <w:sz w:val="20"/>
                <w:szCs w:val="20"/>
              </w:rPr>
              <w:t>l</w:t>
            </w:r>
            <w:r w:rsidR="00BA6542" w:rsidRPr="00EA37E9">
              <w:rPr>
                <w:rFonts w:ascii="Verdana" w:hAnsi="Verdana"/>
                <w:sz w:val="20"/>
                <w:szCs w:val="20"/>
              </w:rPr>
              <w:t>ones por cuenta del proyecto</w:t>
            </w:r>
            <w:r w:rsidR="00EA37E9" w:rsidRPr="00EA37E9">
              <w:rPr>
                <w:rFonts w:ascii="Verdana" w:hAnsi="Verdana"/>
                <w:sz w:val="20"/>
                <w:szCs w:val="20"/>
              </w:rPr>
              <w:t>”</w:t>
            </w:r>
            <w:r w:rsidR="00EA37E9" w:rsidRPr="00EA37E9">
              <w:rPr>
                <w:rFonts w:ascii="Verdana" w:hAnsi="Verdana" w:cs="Arial"/>
                <w:sz w:val="20"/>
                <w:szCs w:val="20"/>
              </w:rPr>
              <w:t xml:space="preserve"> Estrategia regional de emprendimiento” financiado con recursos donados por la Unión Europea.</w:t>
            </w:r>
          </w:p>
          <w:p w14:paraId="17E6AFE2" w14:textId="2EEDD88E" w:rsidR="0098385D" w:rsidRDefault="0046016B" w:rsidP="0098385D">
            <w:pPr>
              <w:pStyle w:val="Prrafodelista"/>
              <w:numPr>
                <w:ilvl w:val="0"/>
                <w:numId w:val="16"/>
              </w:numPr>
              <w:jc w:val="both"/>
              <w:rPr>
                <w:rFonts w:ascii="Verdana" w:hAnsi="Verdana"/>
                <w:sz w:val="20"/>
                <w:szCs w:val="20"/>
              </w:rPr>
            </w:pPr>
            <w:r>
              <w:rPr>
                <w:rFonts w:ascii="Verdana" w:hAnsi="Verdana"/>
                <w:sz w:val="20"/>
                <w:szCs w:val="20"/>
              </w:rPr>
              <w:t>4.781</w:t>
            </w:r>
            <w:r w:rsidR="00A2238C" w:rsidRPr="0098385D">
              <w:rPr>
                <w:rFonts w:ascii="Verdana" w:hAnsi="Verdana"/>
                <w:sz w:val="20"/>
                <w:szCs w:val="20"/>
              </w:rPr>
              <w:t>,</w:t>
            </w:r>
            <w:r>
              <w:rPr>
                <w:rFonts w:ascii="Verdana" w:hAnsi="Verdana"/>
                <w:sz w:val="20"/>
                <w:szCs w:val="20"/>
              </w:rPr>
              <w:t>0</w:t>
            </w:r>
            <w:r w:rsidR="00D517D1" w:rsidRPr="0098385D">
              <w:rPr>
                <w:rFonts w:ascii="Verdana" w:hAnsi="Verdana"/>
                <w:sz w:val="20"/>
                <w:szCs w:val="20"/>
              </w:rPr>
              <w:t xml:space="preserve"> </w:t>
            </w:r>
            <w:r w:rsidR="00A67EEC" w:rsidRPr="0098385D">
              <w:rPr>
                <w:rFonts w:ascii="Verdana" w:hAnsi="Verdana"/>
                <w:sz w:val="20"/>
                <w:szCs w:val="20"/>
              </w:rPr>
              <w:t>millones por cuenta del proyecto de desminado terrestre en el marco del convenio de subvención firmado c</w:t>
            </w:r>
            <w:r w:rsidR="00EA3C52" w:rsidRPr="0098385D">
              <w:rPr>
                <w:rFonts w:ascii="Verdana" w:hAnsi="Verdana"/>
                <w:sz w:val="20"/>
                <w:szCs w:val="20"/>
              </w:rPr>
              <w:t xml:space="preserve">on la fundación Howard </w:t>
            </w:r>
            <w:r w:rsidR="00A2238C" w:rsidRPr="0098385D">
              <w:rPr>
                <w:rFonts w:ascii="Verdana" w:hAnsi="Verdana"/>
                <w:sz w:val="20"/>
                <w:szCs w:val="20"/>
              </w:rPr>
              <w:t>Buffet</w:t>
            </w:r>
            <w:r w:rsidR="00EA3C52" w:rsidRPr="0098385D">
              <w:rPr>
                <w:rFonts w:ascii="Verdana" w:hAnsi="Verdana"/>
                <w:sz w:val="20"/>
                <w:szCs w:val="20"/>
              </w:rPr>
              <w:t>.</w:t>
            </w:r>
          </w:p>
          <w:p w14:paraId="07F63032" w14:textId="2A3FBF94" w:rsidR="00A2238C" w:rsidRDefault="00084411" w:rsidP="0098385D">
            <w:pPr>
              <w:pStyle w:val="Prrafodelista"/>
              <w:numPr>
                <w:ilvl w:val="0"/>
                <w:numId w:val="16"/>
              </w:numPr>
              <w:jc w:val="both"/>
              <w:rPr>
                <w:rFonts w:ascii="Verdana" w:hAnsi="Verdana"/>
                <w:sz w:val="20"/>
                <w:szCs w:val="20"/>
              </w:rPr>
            </w:pPr>
            <w:r>
              <w:rPr>
                <w:rFonts w:ascii="Verdana" w:hAnsi="Verdana"/>
                <w:sz w:val="20"/>
                <w:szCs w:val="20"/>
              </w:rPr>
              <w:t>515</w:t>
            </w:r>
            <w:r w:rsidR="0098385D">
              <w:rPr>
                <w:rFonts w:ascii="Verdana" w:hAnsi="Verdana"/>
                <w:sz w:val="20"/>
                <w:szCs w:val="20"/>
              </w:rPr>
              <w:t>,</w:t>
            </w:r>
            <w:r>
              <w:rPr>
                <w:rFonts w:ascii="Verdana" w:hAnsi="Verdana"/>
                <w:sz w:val="20"/>
                <w:szCs w:val="20"/>
              </w:rPr>
              <w:t>6</w:t>
            </w:r>
            <w:r w:rsidR="00A2238C" w:rsidRPr="0098385D">
              <w:rPr>
                <w:rFonts w:ascii="Verdana" w:hAnsi="Verdana"/>
                <w:sz w:val="20"/>
                <w:szCs w:val="20"/>
              </w:rPr>
              <w:t xml:space="preserve"> millones por cuenta del proyecto Fondo Verde del Clima.</w:t>
            </w:r>
          </w:p>
          <w:p w14:paraId="0AA39F65" w14:textId="7C908F56" w:rsidR="0098385D" w:rsidRDefault="0046016B" w:rsidP="0098385D">
            <w:pPr>
              <w:pStyle w:val="Prrafodelista"/>
              <w:numPr>
                <w:ilvl w:val="0"/>
                <w:numId w:val="16"/>
              </w:numPr>
              <w:jc w:val="both"/>
              <w:rPr>
                <w:rFonts w:ascii="Verdana" w:hAnsi="Verdana"/>
                <w:sz w:val="20"/>
                <w:szCs w:val="20"/>
              </w:rPr>
            </w:pPr>
            <w:r>
              <w:rPr>
                <w:rFonts w:ascii="Verdana" w:hAnsi="Verdana"/>
                <w:sz w:val="20"/>
                <w:szCs w:val="20"/>
              </w:rPr>
              <w:t>72</w:t>
            </w:r>
            <w:r w:rsidR="0098385D">
              <w:rPr>
                <w:rFonts w:ascii="Verdana" w:hAnsi="Verdana"/>
                <w:sz w:val="20"/>
                <w:szCs w:val="20"/>
              </w:rPr>
              <w:t>,</w:t>
            </w:r>
            <w:r>
              <w:rPr>
                <w:rFonts w:ascii="Verdana" w:hAnsi="Verdana"/>
                <w:sz w:val="20"/>
                <w:szCs w:val="20"/>
              </w:rPr>
              <w:t>9</w:t>
            </w:r>
            <w:r w:rsidR="0098385D">
              <w:rPr>
                <w:rFonts w:ascii="Verdana" w:hAnsi="Verdana"/>
                <w:sz w:val="20"/>
                <w:szCs w:val="20"/>
              </w:rPr>
              <w:t xml:space="preserve"> millones por cuenta del proyecto Corporación Andina </w:t>
            </w:r>
            <w:r w:rsidR="00C62003">
              <w:rPr>
                <w:rFonts w:ascii="Verdana" w:hAnsi="Verdana"/>
                <w:sz w:val="20"/>
                <w:szCs w:val="20"/>
              </w:rPr>
              <w:t>de</w:t>
            </w:r>
            <w:r w:rsidR="0098385D">
              <w:rPr>
                <w:rFonts w:ascii="Verdana" w:hAnsi="Verdana"/>
                <w:sz w:val="20"/>
                <w:szCs w:val="20"/>
              </w:rPr>
              <w:t xml:space="preserve"> Fomento.</w:t>
            </w:r>
          </w:p>
          <w:p w14:paraId="4226A621" w14:textId="72523064" w:rsidR="00A2238C" w:rsidRPr="0098385D" w:rsidRDefault="006234DD" w:rsidP="0098385D">
            <w:pPr>
              <w:pStyle w:val="Prrafodelista"/>
              <w:numPr>
                <w:ilvl w:val="0"/>
                <w:numId w:val="16"/>
              </w:numPr>
              <w:jc w:val="both"/>
              <w:rPr>
                <w:rFonts w:ascii="Verdana" w:hAnsi="Verdana"/>
                <w:sz w:val="20"/>
                <w:szCs w:val="20"/>
              </w:rPr>
            </w:pPr>
            <w:r>
              <w:rPr>
                <w:rFonts w:ascii="Verdana" w:hAnsi="Verdana"/>
                <w:sz w:val="20"/>
                <w:szCs w:val="20"/>
              </w:rPr>
              <w:t>628</w:t>
            </w:r>
            <w:r w:rsidR="00A2238C" w:rsidRPr="0098385D">
              <w:rPr>
                <w:rFonts w:ascii="Verdana" w:hAnsi="Verdana"/>
                <w:sz w:val="20"/>
                <w:szCs w:val="20"/>
              </w:rPr>
              <w:t>,</w:t>
            </w:r>
            <w:r>
              <w:rPr>
                <w:rFonts w:ascii="Verdana" w:hAnsi="Verdana"/>
                <w:sz w:val="20"/>
                <w:szCs w:val="20"/>
              </w:rPr>
              <w:t>9</w:t>
            </w:r>
            <w:r w:rsidR="00A2238C" w:rsidRPr="0098385D">
              <w:rPr>
                <w:rFonts w:ascii="Verdana" w:hAnsi="Verdana"/>
                <w:sz w:val="20"/>
                <w:szCs w:val="20"/>
              </w:rPr>
              <w:t xml:space="preserve"> millones por cuenta del proyecto </w:t>
            </w:r>
            <w:r>
              <w:rPr>
                <w:rFonts w:ascii="Verdana" w:hAnsi="Verdana"/>
                <w:sz w:val="20"/>
                <w:szCs w:val="20"/>
              </w:rPr>
              <w:t>de Gobierno de Corea</w:t>
            </w:r>
            <w:r w:rsidR="00A2238C" w:rsidRPr="0098385D">
              <w:rPr>
                <w:rFonts w:ascii="Verdana" w:hAnsi="Verdana"/>
                <w:sz w:val="20"/>
                <w:szCs w:val="20"/>
              </w:rPr>
              <w:t>.</w:t>
            </w:r>
          </w:p>
          <w:p w14:paraId="5FC021EB" w14:textId="77777777" w:rsidR="00A67EEC" w:rsidRPr="009B7746" w:rsidRDefault="00A67EEC" w:rsidP="00A67EEC">
            <w:pPr>
              <w:jc w:val="both"/>
              <w:rPr>
                <w:rFonts w:ascii="Verdana" w:hAnsi="Verdana"/>
                <w:sz w:val="20"/>
                <w:szCs w:val="20"/>
                <w:highlight w:val="yellow"/>
              </w:rPr>
            </w:pPr>
          </w:p>
          <w:p w14:paraId="68E21DB8" w14:textId="7F466EFA" w:rsidR="00D05B51" w:rsidRDefault="00EA3C52" w:rsidP="00F57B74">
            <w:pPr>
              <w:jc w:val="both"/>
              <w:rPr>
                <w:rFonts w:ascii="Verdana" w:hAnsi="Verdana"/>
                <w:sz w:val="20"/>
                <w:szCs w:val="20"/>
              </w:rPr>
            </w:pPr>
            <w:r>
              <w:rPr>
                <w:rFonts w:ascii="Verdana" w:hAnsi="Verdana"/>
                <w:sz w:val="20"/>
                <w:szCs w:val="20"/>
              </w:rPr>
              <w:t>2) F</w:t>
            </w:r>
            <w:r w:rsidRPr="00EA3C52">
              <w:rPr>
                <w:rFonts w:ascii="Verdana" w:hAnsi="Verdana"/>
                <w:sz w:val="20"/>
                <w:szCs w:val="20"/>
              </w:rPr>
              <w:t xml:space="preserve">ortalecimiento de las capacidades tecnológicas de la información en </w:t>
            </w:r>
            <w:r>
              <w:rPr>
                <w:rFonts w:ascii="Verdana" w:hAnsi="Verdana"/>
                <w:sz w:val="20"/>
                <w:szCs w:val="20"/>
              </w:rPr>
              <w:t xml:space="preserve">APC-COLOMBIA, </w:t>
            </w:r>
            <w:r w:rsidRPr="00EA3C52">
              <w:rPr>
                <w:rFonts w:ascii="Verdana" w:hAnsi="Verdana"/>
                <w:sz w:val="20"/>
                <w:szCs w:val="20"/>
              </w:rPr>
              <w:t xml:space="preserve">con </w:t>
            </w:r>
            <w:r w:rsidR="001E22C0" w:rsidRPr="00EA3C52">
              <w:rPr>
                <w:rFonts w:ascii="Verdana" w:hAnsi="Verdana"/>
                <w:sz w:val="20"/>
                <w:szCs w:val="20"/>
              </w:rPr>
              <w:t xml:space="preserve">el </w:t>
            </w:r>
            <w:r w:rsidR="000A230A">
              <w:rPr>
                <w:rFonts w:ascii="Verdana" w:hAnsi="Verdana"/>
                <w:sz w:val="20"/>
                <w:szCs w:val="20"/>
              </w:rPr>
              <w:t>1,53</w:t>
            </w:r>
            <w:r w:rsidR="00A67EEC" w:rsidRPr="00EA3C52">
              <w:rPr>
                <w:rFonts w:ascii="Verdana" w:hAnsi="Verdana"/>
                <w:sz w:val="20"/>
                <w:szCs w:val="20"/>
              </w:rPr>
              <w:t xml:space="preserve">% de la ejecución en inversión, equivalente a </w:t>
            </w:r>
            <w:r w:rsidR="00D91295">
              <w:rPr>
                <w:rFonts w:ascii="Verdana" w:hAnsi="Verdana"/>
                <w:sz w:val="20"/>
                <w:szCs w:val="20"/>
              </w:rPr>
              <w:t>12</w:t>
            </w:r>
            <w:r w:rsidR="000A230A">
              <w:rPr>
                <w:rFonts w:ascii="Verdana" w:hAnsi="Verdana"/>
                <w:sz w:val="20"/>
                <w:szCs w:val="20"/>
              </w:rPr>
              <w:t>5</w:t>
            </w:r>
            <w:r w:rsidR="00665796">
              <w:rPr>
                <w:rFonts w:ascii="Verdana" w:hAnsi="Verdana"/>
                <w:sz w:val="20"/>
                <w:szCs w:val="20"/>
              </w:rPr>
              <w:t>,</w:t>
            </w:r>
            <w:r w:rsidR="000A230A">
              <w:rPr>
                <w:rFonts w:ascii="Verdana" w:hAnsi="Verdana"/>
                <w:sz w:val="20"/>
                <w:szCs w:val="20"/>
              </w:rPr>
              <w:t>6</w:t>
            </w:r>
            <w:r w:rsidR="00A67EEC" w:rsidRPr="00EA3C52">
              <w:rPr>
                <w:rFonts w:ascii="Verdana" w:hAnsi="Verdana"/>
                <w:sz w:val="20"/>
                <w:szCs w:val="20"/>
              </w:rPr>
              <w:t xml:space="preserve"> millones </w:t>
            </w:r>
            <w:r w:rsidR="00F57B74">
              <w:rPr>
                <w:rFonts w:ascii="Verdana" w:hAnsi="Verdana"/>
                <w:sz w:val="20"/>
                <w:szCs w:val="20"/>
              </w:rPr>
              <w:t xml:space="preserve">para </w:t>
            </w:r>
            <w:r w:rsidR="00FB5CFF">
              <w:rPr>
                <w:rFonts w:ascii="Verdana" w:hAnsi="Verdana"/>
                <w:sz w:val="20"/>
                <w:szCs w:val="20"/>
              </w:rPr>
              <w:t xml:space="preserve">el </w:t>
            </w:r>
            <w:r w:rsidR="00A67EEC" w:rsidRPr="00EA3C52">
              <w:rPr>
                <w:rFonts w:ascii="Verdana" w:hAnsi="Verdana"/>
                <w:sz w:val="20"/>
                <w:szCs w:val="20"/>
              </w:rPr>
              <w:t>servicio</w:t>
            </w:r>
            <w:r w:rsidR="00FB5CFF">
              <w:rPr>
                <w:rFonts w:ascii="Verdana" w:hAnsi="Verdana"/>
                <w:sz w:val="20"/>
                <w:szCs w:val="20"/>
              </w:rPr>
              <w:t xml:space="preserve"> </w:t>
            </w:r>
            <w:r w:rsidR="006234DD">
              <w:rPr>
                <w:rFonts w:ascii="Verdana" w:hAnsi="Verdana"/>
                <w:sz w:val="20"/>
                <w:szCs w:val="20"/>
              </w:rPr>
              <w:t xml:space="preserve">de </w:t>
            </w:r>
            <w:r w:rsidR="00D91295">
              <w:rPr>
                <w:rFonts w:ascii="Verdana" w:hAnsi="Verdana"/>
                <w:sz w:val="20"/>
                <w:szCs w:val="20"/>
              </w:rPr>
              <w:t>cinco profesionales</w:t>
            </w:r>
            <w:r w:rsidR="00E9136D">
              <w:rPr>
                <w:rFonts w:ascii="Verdana" w:hAnsi="Verdana"/>
                <w:sz w:val="20"/>
                <w:szCs w:val="20"/>
              </w:rPr>
              <w:t xml:space="preserve"> </w:t>
            </w:r>
            <w:r w:rsidR="00E9136D" w:rsidRPr="00EA3C52">
              <w:rPr>
                <w:rFonts w:ascii="Verdana" w:hAnsi="Verdana"/>
                <w:sz w:val="20"/>
                <w:szCs w:val="20"/>
              </w:rPr>
              <w:t>para</w:t>
            </w:r>
            <w:r w:rsidR="00A67EEC" w:rsidRPr="00EA3C52">
              <w:rPr>
                <w:rFonts w:ascii="Verdana" w:hAnsi="Verdana"/>
                <w:sz w:val="20"/>
                <w:szCs w:val="20"/>
              </w:rPr>
              <w:t xml:space="preserve"> la gestión del proye</w:t>
            </w:r>
            <w:r>
              <w:rPr>
                <w:rFonts w:ascii="Verdana" w:hAnsi="Verdana"/>
                <w:sz w:val="20"/>
                <w:szCs w:val="20"/>
              </w:rPr>
              <w:t>cto.</w:t>
            </w:r>
            <w:r w:rsidR="00A67EEC" w:rsidRPr="00EA3C52">
              <w:rPr>
                <w:rFonts w:ascii="Verdana" w:hAnsi="Verdana"/>
                <w:sz w:val="20"/>
                <w:szCs w:val="20"/>
              </w:rPr>
              <w:t xml:space="preserve"> </w:t>
            </w:r>
          </w:p>
          <w:p w14:paraId="459B0485" w14:textId="77777777" w:rsidR="00C62003" w:rsidRDefault="00C62003" w:rsidP="00F57B74">
            <w:pPr>
              <w:jc w:val="both"/>
              <w:rPr>
                <w:rFonts w:ascii="Verdana" w:hAnsi="Verdana"/>
                <w:sz w:val="20"/>
                <w:szCs w:val="20"/>
              </w:rPr>
            </w:pPr>
          </w:p>
          <w:p w14:paraId="670932A3" w14:textId="022D37B3" w:rsidR="00F57B74" w:rsidRPr="003C58A7" w:rsidRDefault="00C62003" w:rsidP="00B74D27">
            <w:pPr>
              <w:jc w:val="both"/>
              <w:rPr>
                <w:rFonts w:ascii="Verdana" w:hAnsi="Verdana"/>
                <w:sz w:val="20"/>
                <w:szCs w:val="20"/>
              </w:rPr>
            </w:pPr>
            <w:r>
              <w:rPr>
                <w:rFonts w:ascii="Verdana" w:hAnsi="Verdana"/>
                <w:sz w:val="20"/>
                <w:szCs w:val="20"/>
              </w:rPr>
              <w:t>3)</w:t>
            </w:r>
            <w:r>
              <w:t xml:space="preserve"> </w:t>
            </w:r>
            <w:r w:rsidR="003B4098">
              <w:rPr>
                <w:rFonts w:ascii="Verdana" w:hAnsi="Verdana"/>
                <w:sz w:val="20"/>
                <w:szCs w:val="20"/>
              </w:rPr>
              <w:t xml:space="preserve">Consolidación Del Sistema </w:t>
            </w:r>
            <w:r w:rsidRPr="00C62003">
              <w:rPr>
                <w:rFonts w:ascii="Verdana" w:hAnsi="Verdana"/>
                <w:sz w:val="20"/>
                <w:szCs w:val="20"/>
              </w:rPr>
              <w:t xml:space="preserve">Nacional De Cooperación Internacional A </w:t>
            </w:r>
            <w:r w:rsidR="003B4098" w:rsidRPr="00C62003">
              <w:rPr>
                <w:rFonts w:ascii="Verdana" w:hAnsi="Verdana"/>
                <w:sz w:val="20"/>
                <w:szCs w:val="20"/>
              </w:rPr>
              <w:t>Nivel Nacional</w:t>
            </w:r>
            <w:r w:rsidR="003B4098">
              <w:rPr>
                <w:rFonts w:ascii="Verdana" w:hAnsi="Verdana"/>
                <w:sz w:val="20"/>
                <w:szCs w:val="20"/>
              </w:rPr>
              <w:t xml:space="preserve">, con el </w:t>
            </w:r>
            <w:r w:rsidR="00B74D27">
              <w:rPr>
                <w:rFonts w:ascii="Verdana" w:hAnsi="Verdana"/>
                <w:sz w:val="20"/>
                <w:szCs w:val="20"/>
              </w:rPr>
              <w:t>4,85</w:t>
            </w:r>
            <w:r w:rsidR="003B4098">
              <w:rPr>
                <w:rFonts w:ascii="Verdana" w:hAnsi="Verdana"/>
                <w:sz w:val="20"/>
                <w:szCs w:val="20"/>
              </w:rPr>
              <w:t xml:space="preserve">% de la ejecución en inversión, equivalente a </w:t>
            </w:r>
            <w:r w:rsidR="006234DD">
              <w:rPr>
                <w:rFonts w:ascii="Verdana" w:hAnsi="Verdana"/>
                <w:sz w:val="20"/>
                <w:szCs w:val="20"/>
              </w:rPr>
              <w:t>3</w:t>
            </w:r>
            <w:r w:rsidR="00B74D27">
              <w:rPr>
                <w:rFonts w:ascii="Verdana" w:hAnsi="Verdana"/>
                <w:sz w:val="20"/>
                <w:szCs w:val="20"/>
              </w:rPr>
              <w:t>97</w:t>
            </w:r>
            <w:r w:rsidR="003B4098">
              <w:rPr>
                <w:rFonts w:ascii="Verdana" w:hAnsi="Verdana"/>
                <w:sz w:val="20"/>
                <w:szCs w:val="20"/>
              </w:rPr>
              <w:t>,</w:t>
            </w:r>
            <w:r w:rsidR="00B74D27">
              <w:rPr>
                <w:rFonts w:ascii="Verdana" w:hAnsi="Verdana"/>
                <w:sz w:val="20"/>
                <w:szCs w:val="20"/>
              </w:rPr>
              <w:t>0</w:t>
            </w:r>
            <w:r w:rsidR="003B4098">
              <w:rPr>
                <w:rFonts w:ascii="Verdana" w:hAnsi="Verdana"/>
                <w:sz w:val="20"/>
                <w:szCs w:val="20"/>
              </w:rPr>
              <w:t xml:space="preserve"> millones para el servicio de </w:t>
            </w:r>
            <w:r w:rsidR="00B74D27">
              <w:rPr>
                <w:rFonts w:ascii="Verdana" w:hAnsi="Verdana"/>
                <w:sz w:val="20"/>
                <w:szCs w:val="20"/>
              </w:rPr>
              <w:t>nueve</w:t>
            </w:r>
            <w:r w:rsidR="00665796">
              <w:rPr>
                <w:rFonts w:ascii="Verdana" w:hAnsi="Verdana"/>
                <w:sz w:val="20"/>
                <w:szCs w:val="20"/>
              </w:rPr>
              <w:t xml:space="preserve"> </w:t>
            </w:r>
            <w:r w:rsidR="003B4098">
              <w:rPr>
                <w:rFonts w:ascii="Verdana" w:hAnsi="Verdana"/>
                <w:sz w:val="20"/>
                <w:szCs w:val="20"/>
              </w:rPr>
              <w:t xml:space="preserve">profesionales para la gestión del proyecto y </w:t>
            </w:r>
            <w:r w:rsidR="00823DC7">
              <w:rPr>
                <w:rFonts w:ascii="Verdana" w:hAnsi="Verdana"/>
                <w:sz w:val="20"/>
                <w:szCs w:val="20"/>
              </w:rPr>
              <w:t>se suscribió el</w:t>
            </w:r>
            <w:r w:rsidR="003B4098">
              <w:rPr>
                <w:rFonts w:ascii="Verdana" w:hAnsi="Verdana"/>
                <w:sz w:val="20"/>
                <w:szCs w:val="20"/>
              </w:rPr>
              <w:t xml:space="preserve"> contrato con </w:t>
            </w:r>
            <w:r w:rsidR="003B4098" w:rsidRPr="003B4098">
              <w:rPr>
                <w:rFonts w:ascii="Verdana" w:hAnsi="Verdana"/>
                <w:sz w:val="20"/>
                <w:szCs w:val="20"/>
              </w:rPr>
              <w:t>Viaja Por El Mundo Web</w:t>
            </w:r>
            <w:r w:rsidR="003B4098">
              <w:rPr>
                <w:rFonts w:ascii="Verdana" w:hAnsi="Verdana"/>
                <w:sz w:val="20"/>
                <w:szCs w:val="20"/>
              </w:rPr>
              <w:t xml:space="preserve"> para el desarrollo de las actividades </w:t>
            </w:r>
            <w:r w:rsidR="00823DC7">
              <w:rPr>
                <w:rFonts w:ascii="Verdana" w:hAnsi="Verdana"/>
                <w:sz w:val="20"/>
                <w:szCs w:val="20"/>
              </w:rPr>
              <w:t>previstas</w:t>
            </w:r>
            <w:r w:rsidR="003B4098">
              <w:rPr>
                <w:rFonts w:ascii="Verdana" w:hAnsi="Verdana"/>
                <w:sz w:val="20"/>
                <w:szCs w:val="20"/>
              </w:rPr>
              <w:t>.</w:t>
            </w:r>
          </w:p>
        </w:tc>
        <w:tc>
          <w:tcPr>
            <w:tcW w:w="0" w:type="auto"/>
            <w:shd w:val="clear" w:color="auto" w:fill="auto"/>
            <w:vAlign w:val="center"/>
          </w:tcPr>
          <w:p w14:paraId="66E88CA0" w14:textId="77777777" w:rsidR="00A67EEC" w:rsidRPr="009B7746" w:rsidRDefault="00A67EEC" w:rsidP="00A67EEC">
            <w:pPr>
              <w:jc w:val="both"/>
              <w:rPr>
                <w:rFonts w:ascii="Verdana" w:hAnsi="Verdana"/>
                <w:sz w:val="20"/>
                <w:szCs w:val="20"/>
              </w:rPr>
            </w:pPr>
            <w:r w:rsidRPr="009B7746">
              <w:rPr>
                <w:rFonts w:ascii="Verdana" w:hAnsi="Verdana"/>
                <w:b/>
                <w:sz w:val="20"/>
                <w:szCs w:val="20"/>
              </w:rPr>
              <w:lastRenderedPageBreak/>
              <w:t>Indicador:</w:t>
            </w:r>
            <w:r w:rsidRPr="009B7746">
              <w:rPr>
                <w:rFonts w:ascii="Verdana" w:hAnsi="Verdana"/>
                <w:sz w:val="20"/>
                <w:szCs w:val="20"/>
              </w:rPr>
              <w:t xml:space="preserve"> Ejecución Obligaciones / Apropiación Vigente.</w:t>
            </w:r>
          </w:p>
          <w:p w14:paraId="0267C82C" w14:textId="019C2136" w:rsidR="00A67EEC" w:rsidRPr="009B7746" w:rsidRDefault="00A67EEC" w:rsidP="00A67EEC">
            <w:pPr>
              <w:jc w:val="both"/>
              <w:rPr>
                <w:rFonts w:ascii="Verdana" w:hAnsi="Verdana"/>
                <w:sz w:val="20"/>
                <w:szCs w:val="20"/>
              </w:rPr>
            </w:pPr>
            <w:r w:rsidRPr="009B7746">
              <w:rPr>
                <w:rFonts w:ascii="Verdana" w:hAnsi="Verdana"/>
                <w:b/>
                <w:sz w:val="20"/>
                <w:szCs w:val="20"/>
              </w:rPr>
              <w:t>Indicador:</w:t>
            </w:r>
            <w:r w:rsidRPr="009B7746">
              <w:rPr>
                <w:rFonts w:ascii="Verdana" w:hAnsi="Verdana"/>
                <w:sz w:val="20"/>
                <w:szCs w:val="20"/>
              </w:rPr>
              <w:t xml:space="preserve"> </w:t>
            </w:r>
            <w:r w:rsidR="00D146FB">
              <w:rPr>
                <w:rFonts w:ascii="Verdana" w:hAnsi="Verdana"/>
                <w:sz w:val="20"/>
                <w:szCs w:val="20"/>
              </w:rPr>
              <w:t>11.410,06</w:t>
            </w:r>
            <w:r w:rsidR="00E70862" w:rsidRPr="009B7746">
              <w:rPr>
                <w:rFonts w:ascii="Verdana" w:hAnsi="Verdana"/>
                <w:sz w:val="20"/>
                <w:szCs w:val="20"/>
              </w:rPr>
              <w:t xml:space="preserve"> </w:t>
            </w:r>
            <w:r w:rsidRPr="009B7746">
              <w:rPr>
                <w:rFonts w:ascii="Verdana" w:hAnsi="Verdana"/>
                <w:sz w:val="20"/>
                <w:szCs w:val="20"/>
              </w:rPr>
              <w:t xml:space="preserve">/ </w:t>
            </w:r>
            <w:r w:rsidR="00681998">
              <w:rPr>
                <w:rFonts w:ascii="Verdana" w:hAnsi="Verdana"/>
                <w:sz w:val="20"/>
                <w:szCs w:val="20"/>
              </w:rPr>
              <w:t>62.956,0</w:t>
            </w:r>
            <w:r w:rsidR="00E70862" w:rsidRPr="009B7746">
              <w:rPr>
                <w:rFonts w:ascii="Verdana" w:hAnsi="Verdana"/>
                <w:sz w:val="20"/>
                <w:szCs w:val="20"/>
              </w:rPr>
              <w:t xml:space="preserve"> </w:t>
            </w:r>
            <w:r w:rsidRPr="009B7746">
              <w:rPr>
                <w:rFonts w:ascii="Verdana" w:hAnsi="Verdana"/>
                <w:sz w:val="20"/>
                <w:szCs w:val="20"/>
              </w:rPr>
              <w:t xml:space="preserve">= </w:t>
            </w:r>
            <w:r w:rsidR="00D146FB">
              <w:rPr>
                <w:rFonts w:ascii="Verdana" w:hAnsi="Verdana"/>
                <w:sz w:val="20"/>
                <w:szCs w:val="20"/>
              </w:rPr>
              <w:t>18,12</w:t>
            </w:r>
            <w:r w:rsidRPr="009B7746">
              <w:rPr>
                <w:rFonts w:ascii="Verdana" w:hAnsi="Verdana"/>
                <w:sz w:val="20"/>
                <w:szCs w:val="20"/>
              </w:rPr>
              <w:t>%.</w:t>
            </w:r>
          </w:p>
          <w:p w14:paraId="6276DEA1" w14:textId="77777777" w:rsidR="00A67EEC" w:rsidRPr="00EE79B7" w:rsidRDefault="00A67EEC" w:rsidP="00A67EEC">
            <w:pPr>
              <w:jc w:val="both"/>
              <w:rPr>
                <w:rFonts w:ascii="Verdana" w:hAnsi="Verdana"/>
                <w:sz w:val="20"/>
                <w:szCs w:val="20"/>
              </w:rPr>
            </w:pPr>
          </w:p>
          <w:p w14:paraId="4DB0BE0E" w14:textId="1077EF6A" w:rsidR="000749FF" w:rsidRDefault="000749FF" w:rsidP="0004373C">
            <w:pPr>
              <w:jc w:val="both"/>
              <w:rPr>
                <w:rFonts w:ascii="Verdana" w:hAnsi="Verdana"/>
                <w:sz w:val="20"/>
                <w:szCs w:val="20"/>
              </w:rPr>
            </w:pPr>
            <w:r w:rsidRPr="000749FF">
              <w:rPr>
                <w:rFonts w:ascii="Verdana" w:hAnsi="Verdana"/>
                <w:sz w:val="20"/>
                <w:szCs w:val="20"/>
              </w:rPr>
              <w:t xml:space="preserve">Con corte al 31 de agosto de 2020, la ejecución presupuestal de la entidad en materia de obligaciones fue del 22,7% equivalente a 14.319 millones, frente a una meta del 23,1%, con un déficit de 241,6 millones, el cual se explica de la siguiente manera: </w:t>
            </w:r>
          </w:p>
          <w:p w14:paraId="64285E31" w14:textId="77777777" w:rsidR="000749FF" w:rsidRDefault="000749FF" w:rsidP="0004373C">
            <w:pPr>
              <w:jc w:val="both"/>
              <w:rPr>
                <w:rFonts w:ascii="Verdana" w:hAnsi="Verdana"/>
                <w:sz w:val="20"/>
                <w:szCs w:val="20"/>
              </w:rPr>
            </w:pPr>
          </w:p>
          <w:p w14:paraId="298AEBEC" w14:textId="6340F2D5" w:rsidR="00CB005B" w:rsidRDefault="00A67EEC" w:rsidP="0004373C">
            <w:pPr>
              <w:jc w:val="both"/>
              <w:rPr>
                <w:rFonts w:ascii="Verdana" w:hAnsi="Verdana"/>
                <w:b/>
                <w:sz w:val="20"/>
                <w:szCs w:val="20"/>
              </w:rPr>
            </w:pPr>
            <w:r w:rsidRPr="00A516EE">
              <w:rPr>
                <w:rFonts w:ascii="Verdana" w:hAnsi="Verdana"/>
                <w:b/>
                <w:sz w:val="20"/>
                <w:szCs w:val="20"/>
              </w:rPr>
              <w:t>A) Gastos de funcionamiento:</w:t>
            </w:r>
          </w:p>
          <w:p w14:paraId="51898CD5" w14:textId="3F77D34A" w:rsidR="00CB005B" w:rsidRDefault="00A67EEC" w:rsidP="0004373C">
            <w:pPr>
              <w:jc w:val="both"/>
              <w:rPr>
                <w:rFonts w:ascii="Verdana" w:hAnsi="Verdana"/>
                <w:iCs/>
                <w:sz w:val="20"/>
                <w:szCs w:val="20"/>
                <w:lang w:val="es-ES"/>
              </w:rPr>
            </w:pPr>
            <w:r w:rsidRPr="00A516EE">
              <w:rPr>
                <w:rFonts w:ascii="Verdana" w:hAnsi="Verdana"/>
                <w:sz w:val="20"/>
                <w:szCs w:val="20"/>
              </w:rPr>
              <w:t xml:space="preserve"> </w:t>
            </w:r>
            <w:r w:rsidR="00681998" w:rsidRPr="00C55089">
              <w:rPr>
                <w:rFonts w:ascii="Verdana" w:hAnsi="Verdana" w:cs="Arial"/>
                <w:sz w:val="20"/>
                <w:szCs w:val="20"/>
                <w:lang w:val="es-CO"/>
              </w:rPr>
              <w:t xml:space="preserve">1) </w:t>
            </w:r>
            <w:r w:rsidR="000749FF" w:rsidRPr="000749FF">
              <w:rPr>
                <w:rFonts w:ascii="Verdana" w:hAnsi="Verdana"/>
                <w:iCs/>
                <w:sz w:val="20"/>
                <w:szCs w:val="20"/>
                <w:lang w:val="es-ES"/>
              </w:rPr>
              <w:t>Superávit en ejecución de Gastos de Personal por 403 millones.</w:t>
            </w:r>
          </w:p>
          <w:p w14:paraId="70B10931" w14:textId="77777777" w:rsidR="000749FF" w:rsidRPr="000749FF" w:rsidRDefault="00681998" w:rsidP="000749FF">
            <w:pPr>
              <w:jc w:val="both"/>
              <w:rPr>
                <w:rFonts w:ascii="Verdana" w:hAnsi="Verdana" w:cs="Arial"/>
                <w:sz w:val="20"/>
                <w:szCs w:val="20"/>
                <w:lang w:val="es-CO"/>
              </w:rPr>
            </w:pPr>
            <w:r w:rsidRPr="000135D9">
              <w:rPr>
                <w:rFonts w:ascii="Verdana" w:hAnsi="Verdana" w:cs="Arial"/>
                <w:sz w:val="20"/>
                <w:szCs w:val="20"/>
                <w:lang w:val="es-CO"/>
              </w:rPr>
              <w:t xml:space="preserve">2) </w:t>
            </w:r>
            <w:r w:rsidR="000749FF" w:rsidRPr="000749FF">
              <w:rPr>
                <w:rFonts w:ascii="Verdana" w:hAnsi="Verdana" w:cs="Arial"/>
                <w:sz w:val="20"/>
                <w:szCs w:val="20"/>
                <w:lang w:val="es-CO"/>
              </w:rPr>
              <w:t>Déficit en la ejecución de adquisición de bienes y servicios por 59 millones, debido que, en los rubros de Servicios Públicos, Mensajería, Combustible, aseo y cafetería no se ejecutaron en su totalidad debido a la cuarentena que se presenta en este momento se genera un ahorro.</w:t>
            </w:r>
          </w:p>
          <w:p w14:paraId="3DE84A1D" w14:textId="52BA8699" w:rsidR="00CB005B" w:rsidRDefault="000749FF" w:rsidP="000749FF">
            <w:pPr>
              <w:jc w:val="both"/>
              <w:rPr>
                <w:rFonts w:ascii="Verdana" w:hAnsi="Verdana" w:cs="Arial"/>
                <w:sz w:val="20"/>
                <w:szCs w:val="20"/>
              </w:rPr>
            </w:pPr>
            <w:r w:rsidRPr="000749FF">
              <w:rPr>
                <w:rFonts w:ascii="Verdana" w:hAnsi="Verdana" w:cs="Arial"/>
                <w:sz w:val="20"/>
                <w:szCs w:val="20"/>
                <w:lang w:val="es-CO"/>
              </w:rPr>
              <w:t xml:space="preserve">3) En la ejecución de transferencias corrientes se presentó un superávit por 463,3 millones </w:t>
            </w:r>
          </w:p>
          <w:p w14:paraId="684FA544" w14:textId="77777777" w:rsidR="000749FF" w:rsidRDefault="0081521A" w:rsidP="0004373C">
            <w:pPr>
              <w:spacing w:after="160" w:line="259" w:lineRule="auto"/>
              <w:jc w:val="both"/>
              <w:rPr>
                <w:rFonts w:ascii="Verdana" w:hAnsi="Verdana" w:cs="Arial"/>
                <w:sz w:val="20"/>
                <w:szCs w:val="20"/>
                <w:lang w:val="es-CO"/>
              </w:rPr>
            </w:pPr>
            <w:r>
              <w:rPr>
                <w:rFonts w:ascii="Verdana" w:hAnsi="Verdana" w:cs="Arial"/>
                <w:sz w:val="20"/>
                <w:szCs w:val="20"/>
              </w:rPr>
              <w:t xml:space="preserve"> </w:t>
            </w:r>
            <w:r w:rsidR="00A750DC" w:rsidRPr="00182BFD">
              <w:rPr>
                <w:rFonts w:ascii="Verdana" w:hAnsi="Verdana"/>
                <w:b/>
                <w:sz w:val="20"/>
                <w:szCs w:val="20"/>
              </w:rPr>
              <w:t>B) Gastos de inversión:</w:t>
            </w:r>
            <w:r w:rsidR="008E21DE">
              <w:rPr>
                <w:rFonts w:ascii="Verdana" w:hAnsi="Verdana"/>
                <w:sz w:val="20"/>
                <w:szCs w:val="20"/>
              </w:rPr>
              <w:t xml:space="preserve"> </w:t>
            </w:r>
            <w:r w:rsidR="000749FF" w:rsidRPr="000749FF">
              <w:rPr>
                <w:rFonts w:ascii="Verdana" w:hAnsi="Verdana" w:cs="Arial"/>
                <w:sz w:val="20"/>
                <w:szCs w:val="20"/>
                <w:lang w:val="es-CO"/>
              </w:rPr>
              <w:t>Déficit de 1.047,9 millones debido a que no se realizaron aportes a proyectos de contrapartidas por $517.200.393 debido a que INFIVALLE y la Fundación Corona no radicaron las cuentas oportunamente. Por otra parte, en lo que corresponde al saldo, en el proyecto de administración de recursos quedaron pendiente de pago dos cuentas de adquisiciones realizadas con recursos de donación de la Fundación Howard Buffet.</w:t>
            </w:r>
          </w:p>
          <w:p w14:paraId="4A6F9885" w14:textId="5AA18E6E" w:rsidR="0004373C" w:rsidRPr="007C68D7" w:rsidRDefault="000749FF" w:rsidP="0004373C">
            <w:pPr>
              <w:spacing w:after="160" w:line="259" w:lineRule="auto"/>
              <w:jc w:val="both"/>
              <w:rPr>
                <w:rFonts w:ascii="Verdana" w:hAnsi="Verdana" w:cs="Arial"/>
                <w:sz w:val="20"/>
                <w:szCs w:val="20"/>
                <w:lang w:val="es-CO"/>
              </w:rPr>
            </w:pPr>
            <w:r>
              <w:rPr>
                <w:rFonts w:ascii="Verdana" w:hAnsi="Verdana" w:cs="Arial"/>
                <w:sz w:val="20"/>
                <w:szCs w:val="20"/>
                <w:lang w:val="es-CO"/>
              </w:rPr>
              <w:t xml:space="preserve"> </w:t>
            </w:r>
            <w:r w:rsidR="0004373C" w:rsidRPr="008D300B">
              <w:rPr>
                <w:rFonts w:ascii="Verdana" w:hAnsi="Verdana" w:cs="Arial"/>
                <w:sz w:val="20"/>
                <w:szCs w:val="20"/>
                <w:lang w:val="es-CO"/>
              </w:rPr>
              <w:t xml:space="preserve">El </w:t>
            </w:r>
            <w:r w:rsidR="00C13766">
              <w:rPr>
                <w:rFonts w:ascii="Verdana" w:hAnsi="Verdana" w:cs="Arial"/>
                <w:sz w:val="20"/>
                <w:szCs w:val="20"/>
                <w:lang w:val="es-CO"/>
              </w:rPr>
              <w:t>76,58</w:t>
            </w:r>
            <w:r w:rsidR="0004373C" w:rsidRPr="008D300B">
              <w:rPr>
                <w:rFonts w:ascii="Verdana" w:hAnsi="Verdana" w:cs="Arial"/>
                <w:sz w:val="20"/>
                <w:szCs w:val="20"/>
                <w:lang w:val="es-CO"/>
              </w:rPr>
              <w:t xml:space="preserve">% de la ejecución corresponde a los gastos de funcionamiento y el </w:t>
            </w:r>
            <w:r w:rsidR="00C13766">
              <w:rPr>
                <w:rFonts w:ascii="Verdana" w:hAnsi="Verdana" w:cs="Arial"/>
                <w:sz w:val="20"/>
                <w:szCs w:val="20"/>
                <w:lang w:val="es-CO"/>
              </w:rPr>
              <w:t>23,42</w:t>
            </w:r>
            <w:r w:rsidR="0004373C" w:rsidRPr="008D300B">
              <w:rPr>
                <w:rFonts w:ascii="Verdana" w:hAnsi="Verdana" w:cs="Arial"/>
                <w:sz w:val="20"/>
                <w:szCs w:val="20"/>
                <w:lang w:val="es-CO"/>
              </w:rPr>
              <w:t>% a los gastos de inversión.</w:t>
            </w:r>
          </w:p>
          <w:p w14:paraId="363B1476" w14:textId="77777777" w:rsidR="00182BFD" w:rsidRPr="00E279ED" w:rsidRDefault="00182BFD" w:rsidP="00A67EEC">
            <w:pPr>
              <w:jc w:val="both"/>
              <w:rPr>
                <w:rFonts w:ascii="Verdana" w:hAnsi="Verdana"/>
                <w:sz w:val="20"/>
                <w:szCs w:val="20"/>
                <w:highlight w:val="yellow"/>
              </w:rPr>
            </w:pPr>
          </w:p>
          <w:p w14:paraId="138CCD29" w14:textId="77777777" w:rsidR="008E21DE" w:rsidRDefault="008E21DE" w:rsidP="008E21DE">
            <w:pPr>
              <w:jc w:val="both"/>
              <w:rPr>
                <w:rFonts w:ascii="Verdana" w:hAnsi="Verdana" w:cs="Arial"/>
                <w:sz w:val="20"/>
                <w:szCs w:val="20"/>
              </w:rPr>
            </w:pPr>
            <w:r w:rsidRPr="00ED6E49">
              <w:rPr>
                <w:rFonts w:ascii="Verdana" w:hAnsi="Verdana" w:cs="Arial"/>
                <w:sz w:val="20"/>
                <w:szCs w:val="20"/>
              </w:rPr>
              <w:t>La ejecución de obligaciones en funcionamiento se distribuyó así:</w:t>
            </w:r>
          </w:p>
          <w:p w14:paraId="1BA74CA7" w14:textId="77777777" w:rsidR="008E21DE" w:rsidRPr="007C68D7" w:rsidRDefault="008E21DE" w:rsidP="008E21DE">
            <w:pPr>
              <w:jc w:val="both"/>
              <w:rPr>
                <w:rFonts w:ascii="Verdana" w:hAnsi="Verdana" w:cs="Arial"/>
                <w:sz w:val="20"/>
                <w:szCs w:val="20"/>
              </w:rPr>
            </w:pPr>
          </w:p>
          <w:p w14:paraId="7C346354" w14:textId="060973AC" w:rsidR="008E21DE" w:rsidRPr="007C68D7" w:rsidRDefault="008E21DE" w:rsidP="008E21DE">
            <w:pPr>
              <w:jc w:val="both"/>
              <w:rPr>
                <w:rFonts w:ascii="Verdana" w:hAnsi="Verdana" w:cs="Arial"/>
                <w:sz w:val="20"/>
                <w:szCs w:val="20"/>
              </w:rPr>
            </w:pPr>
            <w:r w:rsidRPr="007C68D7">
              <w:rPr>
                <w:rFonts w:ascii="Verdana" w:hAnsi="Verdana" w:cs="Arial"/>
                <w:sz w:val="20"/>
                <w:szCs w:val="20"/>
              </w:rPr>
              <w:t xml:space="preserve">1) Gastos de personal con el </w:t>
            </w:r>
            <w:r w:rsidR="00134AA2">
              <w:rPr>
                <w:rFonts w:ascii="Verdana" w:hAnsi="Verdana" w:cs="Arial"/>
                <w:sz w:val="20"/>
                <w:szCs w:val="20"/>
              </w:rPr>
              <w:t>53,</w:t>
            </w:r>
            <w:r w:rsidR="00C13766">
              <w:rPr>
                <w:rFonts w:ascii="Verdana" w:hAnsi="Verdana" w:cs="Arial"/>
                <w:sz w:val="20"/>
                <w:szCs w:val="20"/>
              </w:rPr>
              <w:t>61</w:t>
            </w:r>
            <w:r w:rsidRPr="007C68D7">
              <w:rPr>
                <w:rFonts w:ascii="Verdana" w:hAnsi="Verdana" w:cs="Arial"/>
                <w:sz w:val="20"/>
                <w:szCs w:val="20"/>
              </w:rPr>
              <w:t>%.</w:t>
            </w:r>
          </w:p>
          <w:p w14:paraId="00D3845B" w14:textId="02BC8C8D" w:rsidR="008E21DE" w:rsidRPr="007C68D7" w:rsidRDefault="008E21DE" w:rsidP="008E21DE">
            <w:pPr>
              <w:jc w:val="both"/>
              <w:rPr>
                <w:rFonts w:ascii="Verdana" w:hAnsi="Verdana" w:cs="Arial"/>
                <w:sz w:val="20"/>
                <w:szCs w:val="20"/>
              </w:rPr>
            </w:pPr>
            <w:r w:rsidRPr="007C68D7">
              <w:rPr>
                <w:rFonts w:ascii="Verdana" w:hAnsi="Verdana" w:cs="Arial"/>
                <w:sz w:val="20"/>
                <w:szCs w:val="20"/>
              </w:rPr>
              <w:t xml:space="preserve">2) Gastos por adquisición de bienes y servicios con el </w:t>
            </w:r>
            <w:r w:rsidR="00897854">
              <w:rPr>
                <w:rFonts w:ascii="Verdana" w:hAnsi="Verdana" w:cs="Arial"/>
                <w:sz w:val="20"/>
                <w:szCs w:val="20"/>
              </w:rPr>
              <w:t>16,</w:t>
            </w:r>
            <w:r w:rsidR="00C13766">
              <w:rPr>
                <w:rFonts w:ascii="Verdana" w:hAnsi="Verdana" w:cs="Arial"/>
                <w:sz w:val="20"/>
                <w:szCs w:val="20"/>
              </w:rPr>
              <w:t>27</w:t>
            </w:r>
            <w:r w:rsidRPr="007C68D7">
              <w:rPr>
                <w:rFonts w:ascii="Verdana" w:hAnsi="Verdana" w:cs="Arial"/>
                <w:sz w:val="20"/>
                <w:szCs w:val="20"/>
              </w:rPr>
              <w:t>%.</w:t>
            </w:r>
          </w:p>
          <w:p w14:paraId="4D894DD5" w14:textId="05233246" w:rsidR="008E21DE" w:rsidRDefault="008E21DE" w:rsidP="008E21DE">
            <w:pPr>
              <w:jc w:val="both"/>
              <w:rPr>
                <w:rFonts w:ascii="Verdana" w:hAnsi="Verdana" w:cs="Arial"/>
                <w:sz w:val="20"/>
                <w:szCs w:val="20"/>
              </w:rPr>
            </w:pPr>
            <w:r w:rsidRPr="007C68D7">
              <w:rPr>
                <w:rFonts w:ascii="Verdana" w:hAnsi="Verdana" w:cs="Arial"/>
                <w:sz w:val="20"/>
                <w:szCs w:val="20"/>
              </w:rPr>
              <w:t xml:space="preserve">3) </w:t>
            </w:r>
            <w:r>
              <w:rPr>
                <w:rFonts w:ascii="Verdana" w:hAnsi="Verdana" w:cs="Arial"/>
                <w:sz w:val="20"/>
                <w:szCs w:val="20"/>
              </w:rPr>
              <w:t xml:space="preserve">Gastos </w:t>
            </w:r>
            <w:r w:rsidRPr="00882814">
              <w:rPr>
                <w:rFonts w:ascii="Verdana" w:hAnsi="Verdana" w:cs="Arial"/>
                <w:sz w:val="20"/>
                <w:szCs w:val="20"/>
              </w:rPr>
              <w:t xml:space="preserve">de transferencias corrientes representan el </w:t>
            </w:r>
            <w:r w:rsidR="00C13766">
              <w:rPr>
                <w:rFonts w:ascii="Verdana" w:hAnsi="Verdana" w:cs="Arial"/>
                <w:sz w:val="20"/>
                <w:szCs w:val="20"/>
              </w:rPr>
              <w:t>30,11</w:t>
            </w:r>
            <w:r w:rsidRPr="00882814">
              <w:rPr>
                <w:rFonts w:ascii="Verdana" w:hAnsi="Verdana" w:cs="Arial"/>
                <w:sz w:val="20"/>
                <w:szCs w:val="20"/>
              </w:rPr>
              <w:t xml:space="preserve">%, el </w:t>
            </w:r>
            <w:r w:rsidR="00C13766">
              <w:rPr>
                <w:rFonts w:ascii="Verdana" w:hAnsi="Verdana" w:cs="Arial"/>
                <w:sz w:val="20"/>
                <w:szCs w:val="20"/>
              </w:rPr>
              <w:t>30,00</w:t>
            </w:r>
            <w:r w:rsidRPr="00882814">
              <w:rPr>
                <w:rFonts w:ascii="Verdana" w:hAnsi="Verdana" w:cs="Arial"/>
                <w:sz w:val="20"/>
                <w:szCs w:val="20"/>
              </w:rPr>
              <w:t xml:space="preserve">% correspondientes a gastos del Fondo de Cooperación y Asistencia Internacional – FOCAI Y el </w:t>
            </w:r>
            <w:r>
              <w:rPr>
                <w:rFonts w:ascii="Verdana" w:hAnsi="Verdana" w:cs="Arial"/>
                <w:sz w:val="20"/>
                <w:szCs w:val="20"/>
              </w:rPr>
              <w:t>0</w:t>
            </w:r>
            <w:r w:rsidR="00897854">
              <w:rPr>
                <w:rFonts w:ascii="Verdana" w:hAnsi="Verdana" w:cs="Arial"/>
                <w:sz w:val="20"/>
                <w:szCs w:val="20"/>
              </w:rPr>
              <w:t>,</w:t>
            </w:r>
            <w:r w:rsidR="00134AA2">
              <w:rPr>
                <w:rFonts w:ascii="Verdana" w:hAnsi="Verdana" w:cs="Arial"/>
                <w:sz w:val="20"/>
                <w:szCs w:val="20"/>
              </w:rPr>
              <w:t>1</w:t>
            </w:r>
            <w:r w:rsidR="00C13766">
              <w:rPr>
                <w:rFonts w:ascii="Verdana" w:hAnsi="Verdana" w:cs="Arial"/>
                <w:sz w:val="20"/>
                <w:szCs w:val="20"/>
              </w:rPr>
              <w:t>2</w:t>
            </w:r>
            <w:r w:rsidRPr="00882814">
              <w:rPr>
                <w:rFonts w:ascii="Verdana" w:hAnsi="Verdana" w:cs="Arial"/>
                <w:sz w:val="20"/>
                <w:szCs w:val="20"/>
              </w:rPr>
              <w:t>% a Incapaci</w:t>
            </w:r>
            <w:r>
              <w:rPr>
                <w:rFonts w:ascii="Verdana" w:hAnsi="Verdana" w:cs="Arial"/>
                <w:sz w:val="20"/>
                <w:szCs w:val="20"/>
              </w:rPr>
              <w:t>dades y Licencias de maternidad y paternidad.</w:t>
            </w:r>
          </w:p>
          <w:p w14:paraId="277BB5C1" w14:textId="216F4CE0" w:rsidR="000023EC" w:rsidRDefault="000023EC" w:rsidP="008E21DE">
            <w:pPr>
              <w:jc w:val="both"/>
              <w:rPr>
                <w:rFonts w:ascii="Verdana" w:hAnsi="Verdana" w:cs="Arial"/>
                <w:sz w:val="20"/>
                <w:szCs w:val="20"/>
              </w:rPr>
            </w:pPr>
            <w:r>
              <w:rPr>
                <w:rFonts w:ascii="Verdana" w:hAnsi="Verdana" w:cs="Arial"/>
                <w:sz w:val="20"/>
                <w:szCs w:val="20"/>
              </w:rPr>
              <w:t xml:space="preserve">4) Gastos de </w:t>
            </w:r>
            <w:r w:rsidRPr="0012189C">
              <w:rPr>
                <w:rFonts w:ascii="Verdana" w:hAnsi="Verdana" w:cs="Arial"/>
                <w:sz w:val="20"/>
                <w:szCs w:val="20"/>
              </w:rPr>
              <w:t>tributos, multas, sanciones e intereses de mora</w:t>
            </w:r>
            <w:r>
              <w:rPr>
                <w:rFonts w:ascii="Verdana" w:hAnsi="Verdana" w:cs="Arial"/>
                <w:sz w:val="20"/>
                <w:szCs w:val="20"/>
              </w:rPr>
              <w:t xml:space="preserve"> con el 0,0</w:t>
            </w:r>
            <w:r w:rsidR="00134AA2">
              <w:rPr>
                <w:rFonts w:ascii="Verdana" w:hAnsi="Verdana" w:cs="Arial"/>
                <w:sz w:val="20"/>
                <w:szCs w:val="20"/>
              </w:rPr>
              <w:t>1</w:t>
            </w:r>
            <w:r>
              <w:rPr>
                <w:rFonts w:ascii="Verdana" w:hAnsi="Verdana" w:cs="Arial"/>
                <w:sz w:val="20"/>
                <w:szCs w:val="20"/>
              </w:rPr>
              <w:t>%.</w:t>
            </w:r>
          </w:p>
          <w:p w14:paraId="4FF87618" w14:textId="77777777" w:rsidR="008E21DE" w:rsidRPr="007C68D7" w:rsidRDefault="008E21DE" w:rsidP="008E21DE">
            <w:pPr>
              <w:jc w:val="both"/>
              <w:rPr>
                <w:rFonts w:ascii="Verdana" w:hAnsi="Verdana" w:cs="Arial"/>
                <w:sz w:val="20"/>
                <w:szCs w:val="20"/>
              </w:rPr>
            </w:pPr>
            <w:r w:rsidRPr="007C68D7">
              <w:rPr>
                <w:rFonts w:ascii="Verdana" w:hAnsi="Verdana" w:cs="Arial"/>
                <w:sz w:val="20"/>
                <w:szCs w:val="20"/>
              </w:rPr>
              <w:t xml:space="preserve"> </w:t>
            </w:r>
          </w:p>
          <w:p w14:paraId="09D74D6A" w14:textId="77777777" w:rsidR="00A67EEC" w:rsidRPr="006D212E" w:rsidRDefault="00A67EEC" w:rsidP="00A67EEC">
            <w:pPr>
              <w:jc w:val="both"/>
              <w:rPr>
                <w:rFonts w:ascii="Verdana" w:hAnsi="Verdana"/>
                <w:sz w:val="20"/>
                <w:szCs w:val="20"/>
              </w:rPr>
            </w:pPr>
          </w:p>
          <w:p w14:paraId="23C1950E" w14:textId="61591CC6" w:rsidR="0004373C" w:rsidRDefault="0004373C" w:rsidP="0004373C">
            <w:pPr>
              <w:jc w:val="both"/>
              <w:rPr>
                <w:rFonts w:ascii="Verdana" w:hAnsi="Verdana" w:cs="Arial"/>
                <w:sz w:val="20"/>
                <w:szCs w:val="20"/>
              </w:rPr>
            </w:pPr>
            <w:r w:rsidRPr="007C68D7">
              <w:rPr>
                <w:rFonts w:ascii="Verdana" w:hAnsi="Verdana" w:cs="Arial"/>
                <w:sz w:val="20"/>
                <w:szCs w:val="20"/>
              </w:rPr>
              <w:t>La ejecución de los gastos de inversión estuvo distribuida así:</w:t>
            </w:r>
          </w:p>
          <w:p w14:paraId="32B1C63A" w14:textId="77777777" w:rsidR="00C13766" w:rsidRDefault="00C13766" w:rsidP="0004373C">
            <w:pPr>
              <w:jc w:val="both"/>
              <w:rPr>
                <w:rFonts w:ascii="Verdana" w:hAnsi="Verdana" w:cs="Arial"/>
                <w:sz w:val="20"/>
                <w:szCs w:val="20"/>
              </w:rPr>
            </w:pPr>
          </w:p>
          <w:p w14:paraId="541C8D63" w14:textId="7F1368F9" w:rsidR="00C13766" w:rsidRPr="00B176DD" w:rsidRDefault="00C13766" w:rsidP="00C13766">
            <w:pPr>
              <w:jc w:val="both"/>
              <w:rPr>
                <w:rFonts w:ascii="Verdana" w:hAnsi="Verdana"/>
                <w:sz w:val="20"/>
                <w:szCs w:val="20"/>
              </w:rPr>
            </w:pPr>
            <w:r>
              <w:rPr>
                <w:rFonts w:ascii="Verdana" w:hAnsi="Verdana" w:cs="Arial"/>
                <w:sz w:val="20"/>
                <w:szCs w:val="20"/>
              </w:rPr>
              <w:t>1)</w:t>
            </w:r>
            <w:r>
              <w:rPr>
                <w:rFonts w:ascii="Verdana" w:hAnsi="Verdana"/>
                <w:sz w:val="20"/>
                <w:szCs w:val="20"/>
              </w:rPr>
              <w:t xml:space="preserve"> </w:t>
            </w:r>
            <w:r>
              <w:rPr>
                <w:rFonts w:ascii="Verdana" w:hAnsi="Verdana"/>
                <w:sz w:val="20"/>
                <w:szCs w:val="20"/>
              </w:rPr>
              <w:t xml:space="preserve">Recursos de Contrapartida Nacional con el </w:t>
            </w:r>
            <w:r>
              <w:rPr>
                <w:rFonts w:ascii="Verdana" w:hAnsi="Verdana"/>
                <w:sz w:val="20"/>
                <w:szCs w:val="20"/>
              </w:rPr>
              <w:t>25,02</w:t>
            </w:r>
            <w:r>
              <w:rPr>
                <w:rFonts w:ascii="Verdana" w:hAnsi="Verdana"/>
                <w:sz w:val="20"/>
                <w:szCs w:val="20"/>
              </w:rPr>
              <w:t xml:space="preserve">% de la ejecución en inversión, equivalente a </w:t>
            </w:r>
            <w:r>
              <w:rPr>
                <w:rFonts w:ascii="Verdana" w:hAnsi="Verdana"/>
                <w:sz w:val="20"/>
                <w:szCs w:val="20"/>
              </w:rPr>
              <w:t>839,1</w:t>
            </w:r>
            <w:r>
              <w:rPr>
                <w:rFonts w:ascii="Verdana" w:hAnsi="Verdana"/>
                <w:sz w:val="20"/>
                <w:szCs w:val="20"/>
              </w:rPr>
              <w:t xml:space="preserve"> millones, para </w:t>
            </w:r>
            <w:r w:rsidR="00A67EAD">
              <w:rPr>
                <w:rFonts w:ascii="Verdana" w:hAnsi="Verdana"/>
                <w:sz w:val="20"/>
                <w:szCs w:val="20"/>
              </w:rPr>
              <w:t>el pago</w:t>
            </w:r>
            <w:r>
              <w:rPr>
                <w:rFonts w:ascii="Verdana" w:hAnsi="Verdana"/>
                <w:sz w:val="20"/>
                <w:szCs w:val="20"/>
              </w:rPr>
              <w:t xml:space="preserve"> del </w:t>
            </w:r>
            <w:r w:rsidRPr="008D300B">
              <w:rPr>
                <w:rFonts w:ascii="Verdana" w:hAnsi="Verdana"/>
                <w:sz w:val="20"/>
                <w:szCs w:val="20"/>
              </w:rPr>
              <w:t>Fondo Para La Acción Ambiental Y La Niñez</w:t>
            </w:r>
            <w:r>
              <w:rPr>
                <w:rFonts w:ascii="Verdana" w:hAnsi="Verdana"/>
                <w:sz w:val="20"/>
                <w:szCs w:val="20"/>
              </w:rPr>
              <w:t xml:space="preserve">, Convenio </w:t>
            </w:r>
            <w:r w:rsidRPr="0046016B">
              <w:rPr>
                <w:rFonts w:ascii="Verdana" w:hAnsi="Verdana"/>
                <w:sz w:val="20"/>
                <w:szCs w:val="20"/>
              </w:rPr>
              <w:t>Federación Campesina Del Cauca F.C.C</w:t>
            </w:r>
            <w:r w:rsidR="00A67EAD">
              <w:rPr>
                <w:rFonts w:ascii="Verdana" w:hAnsi="Verdana"/>
                <w:sz w:val="20"/>
                <w:szCs w:val="20"/>
              </w:rPr>
              <w:t xml:space="preserve"> y el pago del Convenio</w:t>
            </w:r>
            <w:r>
              <w:rPr>
                <w:rFonts w:ascii="Verdana" w:hAnsi="Verdana"/>
                <w:sz w:val="20"/>
                <w:szCs w:val="20"/>
              </w:rPr>
              <w:t xml:space="preserve"> </w:t>
            </w:r>
            <w:r w:rsidRPr="0046016B">
              <w:rPr>
                <w:rFonts w:ascii="Verdana" w:hAnsi="Verdana"/>
                <w:sz w:val="20"/>
                <w:szCs w:val="20"/>
              </w:rPr>
              <w:t>Corporación Parque Tecnológico De Innovación Del Café</w:t>
            </w:r>
            <w:r w:rsidR="00A67EAD">
              <w:rPr>
                <w:rFonts w:ascii="Verdana" w:hAnsi="Verdana"/>
                <w:sz w:val="20"/>
                <w:szCs w:val="20"/>
              </w:rPr>
              <w:t>.</w:t>
            </w:r>
          </w:p>
          <w:p w14:paraId="35E3AC7B" w14:textId="52794B09" w:rsidR="00C13766" w:rsidRDefault="00C13766" w:rsidP="0004373C">
            <w:pPr>
              <w:jc w:val="both"/>
              <w:rPr>
                <w:rFonts w:ascii="Verdana" w:hAnsi="Verdana" w:cs="Arial"/>
                <w:sz w:val="20"/>
                <w:szCs w:val="20"/>
              </w:rPr>
            </w:pPr>
          </w:p>
          <w:p w14:paraId="4DA95DE0" w14:textId="3C619C3C" w:rsidR="00182C5F" w:rsidRDefault="00C13766" w:rsidP="0004373C">
            <w:pPr>
              <w:jc w:val="both"/>
              <w:rPr>
                <w:rFonts w:ascii="Verdana" w:hAnsi="Verdana" w:cs="Arial"/>
                <w:sz w:val="20"/>
                <w:szCs w:val="20"/>
              </w:rPr>
            </w:pPr>
            <w:r>
              <w:rPr>
                <w:rFonts w:ascii="Verdana" w:hAnsi="Verdana" w:cs="Arial"/>
                <w:sz w:val="20"/>
                <w:szCs w:val="20"/>
              </w:rPr>
              <w:t>2</w:t>
            </w:r>
            <w:r w:rsidR="0004373C" w:rsidRPr="007C68D7">
              <w:rPr>
                <w:rFonts w:ascii="Verdana" w:hAnsi="Verdana" w:cs="Arial"/>
                <w:sz w:val="20"/>
                <w:szCs w:val="20"/>
              </w:rPr>
              <w:t xml:space="preserve">) Administración de Recursos de Cooperación con el </w:t>
            </w:r>
            <w:r w:rsidR="00A67EAD">
              <w:rPr>
                <w:rFonts w:ascii="Verdana" w:hAnsi="Verdana" w:cs="Arial"/>
                <w:sz w:val="20"/>
                <w:szCs w:val="20"/>
              </w:rPr>
              <w:t>66,38</w:t>
            </w:r>
            <w:r w:rsidR="0004373C" w:rsidRPr="007C68D7">
              <w:rPr>
                <w:rFonts w:ascii="Verdana" w:hAnsi="Verdana" w:cs="Arial"/>
                <w:sz w:val="20"/>
                <w:szCs w:val="20"/>
              </w:rPr>
              <w:t>%</w:t>
            </w:r>
          </w:p>
          <w:p w14:paraId="758346F1" w14:textId="412A5400" w:rsidR="0004373C" w:rsidRPr="007C68D7" w:rsidRDefault="0004373C" w:rsidP="0004373C">
            <w:pPr>
              <w:jc w:val="both"/>
              <w:rPr>
                <w:rFonts w:ascii="Verdana" w:hAnsi="Verdana" w:cs="Arial"/>
                <w:sz w:val="20"/>
                <w:szCs w:val="20"/>
              </w:rPr>
            </w:pPr>
            <w:r w:rsidRPr="007C68D7">
              <w:rPr>
                <w:rFonts w:ascii="Verdana" w:hAnsi="Verdana" w:cs="Arial"/>
                <w:sz w:val="20"/>
                <w:szCs w:val="20"/>
              </w:rPr>
              <w:t xml:space="preserve"> de la ejecución en inversión, equivalente a </w:t>
            </w:r>
            <w:r w:rsidR="00A67EAD">
              <w:rPr>
                <w:rFonts w:ascii="Verdana" w:hAnsi="Verdana" w:cs="Arial"/>
                <w:sz w:val="20"/>
                <w:szCs w:val="20"/>
              </w:rPr>
              <w:t>2.226</w:t>
            </w:r>
            <w:r w:rsidR="00897854">
              <w:rPr>
                <w:rFonts w:ascii="Verdana" w:hAnsi="Verdana" w:cs="Arial"/>
                <w:sz w:val="20"/>
                <w:szCs w:val="20"/>
              </w:rPr>
              <w:t>,</w:t>
            </w:r>
            <w:r w:rsidR="00A67EAD">
              <w:rPr>
                <w:rFonts w:ascii="Verdana" w:hAnsi="Verdana" w:cs="Arial"/>
                <w:sz w:val="20"/>
                <w:szCs w:val="20"/>
              </w:rPr>
              <w:t>3</w:t>
            </w:r>
            <w:r w:rsidRPr="007C68D7">
              <w:rPr>
                <w:rFonts w:ascii="Verdana" w:hAnsi="Verdana" w:cs="Arial"/>
                <w:sz w:val="20"/>
                <w:szCs w:val="20"/>
              </w:rPr>
              <w:t xml:space="preserve"> millones, distribuidos así:</w:t>
            </w:r>
          </w:p>
          <w:p w14:paraId="48459352" w14:textId="77777777" w:rsidR="000023EC" w:rsidRDefault="000023EC" w:rsidP="000023EC">
            <w:pPr>
              <w:jc w:val="both"/>
              <w:rPr>
                <w:rFonts w:ascii="Verdana" w:hAnsi="Verdana" w:cs="Arial"/>
                <w:sz w:val="20"/>
                <w:szCs w:val="20"/>
              </w:rPr>
            </w:pPr>
          </w:p>
          <w:p w14:paraId="30318FB9" w14:textId="3767708B" w:rsidR="000023EC" w:rsidRPr="000023EC" w:rsidRDefault="000023EC" w:rsidP="000023EC">
            <w:pPr>
              <w:jc w:val="both"/>
              <w:rPr>
                <w:rFonts w:ascii="Verdana" w:hAnsi="Verdana" w:cs="Arial"/>
                <w:sz w:val="20"/>
                <w:szCs w:val="20"/>
              </w:rPr>
            </w:pPr>
            <w:r>
              <w:rPr>
                <w:rFonts w:ascii="Verdana" w:hAnsi="Verdana" w:cs="Arial"/>
                <w:sz w:val="20"/>
                <w:szCs w:val="20"/>
              </w:rPr>
              <w:t xml:space="preserve">a) </w:t>
            </w:r>
            <w:r w:rsidR="00134AA2">
              <w:rPr>
                <w:rFonts w:ascii="Verdana" w:hAnsi="Verdana" w:cs="Arial"/>
                <w:sz w:val="20"/>
                <w:szCs w:val="20"/>
              </w:rPr>
              <w:t>1</w:t>
            </w:r>
            <w:r w:rsidR="00A67EAD">
              <w:rPr>
                <w:rFonts w:ascii="Verdana" w:hAnsi="Verdana" w:cs="Arial"/>
                <w:sz w:val="20"/>
                <w:szCs w:val="20"/>
              </w:rPr>
              <w:t>43</w:t>
            </w:r>
            <w:r w:rsidR="00134AA2">
              <w:rPr>
                <w:rFonts w:ascii="Verdana" w:hAnsi="Verdana" w:cs="Arial"/>
                <w:sz w:val="20"/>
                <w:szCs w:val="20"/>
              </w:rPr>
              <w:t>,0</w:t>
            </w:r>
            <w:r w:rsidRPr="000023EC">
              <w:rPr>
                <w:rFonts w:ascii="Verdana" w:hAnsi="Verdana" w:cs="Arial"/>
                <w:sz w:val="20"/>
                <w:szCs w:val="20"/>
              </w:rPr>
              <w:t xml:space="preserve"> millones, </w:t>
            </w:r>
            <w:r w:rsidR="006C7D70">
              <w:rPr>
                <w:rFonts w:ascii="Verdana" w:hAnsi="Verdana" w:cs="Arial"/>
                <w:sz w:val="20"/>
                <w:szCs w:val="20"/>
              </w:rPr>
              <w:t xml:space="preserve">pagos del </w:t>
            </w:r>
            <w:r w:rsidRPr="000023EC">
              <w:rPr>
                <w:rFonts w:ascii="Verdana" w:hAnsi="Verdana" w:cs="Arial"/>
                <w:sz w:val="20"/>
                <w:szCs w:val="20"/>
              </w:rPr>
              <w:t xml:space="preserve">proyecto” Estrategia regional de </w:t>
            </w:r>
            <w:r w:rsidR="00A67EAD">
              <w:rPr>
                <w:rFonts w:ascii="Verdana" w:hAnsi="Verdana" w:cs="Arial"/>
                <w:sz w:val="20"/>
                <w:szCs w:val="20"/>
              </w:rPr>
              <w:t>2</w:t>
            </w:r>
            <w:r w:rsidRPr="000023EC">
              <w:rPr>
                <w:rFonts w:ascii="Verdana" w:hAnsi="Verdana" w:cs="Arial"/>
                <w:sz w:val="20"/>
                <w:szCs w:val="20"/>
              </w:rPr>
              <w:t>emprendimiento” financiado con recursos donados por la Unión Europea.</w:t>
            </w:r>
          </w:p>
          <w:p w14:paraId="78638B5D" w14:textId="7906005A" w:rsidR="0004373C" w:rsidRDefault="000023EC" w:rsidP="0004373C">
            <w:pPr>
              <w:jc w:val="both"/>
              <w:rPr>
                <w:rFonts w:ascii="Verdana" w:hAnsi="Verdana" w:cs="Arial"/>
                <w:sz w:val="20"/>
                <w:szCs w:val="20"/>
              </w:rPr>
            </w:pPr>
            <w:r>
              <w:rPr>
                <w:rFonts w:ascii="Verdana" w:hAnsi="Verdana" w:cs="Arial"/>
                <w:sz w:val="20"/>
                <w:szCs w:val="20"/>
              </w:rPr>
              <w:t>b)</w:t>
            </w:r>
            <w:r w:rsidR="00580B9A">
              <w:rPr>
                <w:rFonts w:ascii="Verdana" w:hAnsi="Verdana" w:cs="Arial"/>
                <w:sz w:val="20"/>
                <w:szCs w:val="20"/>
              </w:rPr>
              <w:t xml:space="preserve"> </w:t>
            </w:r>
            <w:r w:rsidR="00A67EAD">
              <w:rPr>
                <w:rFonts w:ascii="Verdana" w:hAnsi="Verdana" w:cs="Arial"/>
                <w:sz w:val="20"/>
                <w:szCs w:val="20"/>
              </w:rPr>
              <w:t>1.743</w:t>
            </w:r>
            <w:r w:rsidR="00134AA2">
              <w:rPr>
                <w:rFonts w:ascii="Verdana" w:hAnsi="Verdana" w:cs="Arial"/>
                <w:sz w:val="20"/>
                <w:szCs w:val="20"/>
              </w:rPr>
              <w:t>,</w:t>
            </w:r>
            <w:r w:rsidR="00A67EAD">
              <w:rPr>
                <w:rFonts w:ascii="Verdana" w:hAnsi="Verdana" w:cs="Arial"/>
                <w:sz w:val="20"/>
                <w:szCs w:val="20"/>
              </w:rPr>
              <w:t>2</w:t>
            </w:r>
            <w:r w:rsidR="0004373C" w:rsidRPr="007C68D7">
              <w:rPr>
                <w:rFonts w:ascii="Verdana" w:hAnsi="Verdana" w:cs="Arial"/>
                <w:sz w:val="20"/>
                <w:szCs w:val="20"/>
              </w:rPr>
              <w:t xml:space="preserve"> millones, pagos del proyecto de desminado terrestre en el marco del convenio de subvención firmado con la fundación Howard Buffet.</w:t>
            </w:r>
          </w:p>
          <w:p w14:paraId="0FC51260" w14:textId="0C32E644" w:rsidR="00580B9A" w:rsidRDefault="006C7D70" w:rsidP="00580B9A">
            <w:pPr>
              <w:jc w:val="both"/>
              <w:rPr>
                <w:rFonts w:ascii="Verdana" w:hAnsi="Verdana"/>
                <w:sz w:val="20"/>
                <w:szCs w:val="20"/>
              </w:rPr>
            </w:pPr>
            <w:r w:rsidRPr="006C7D70">
              <w:rPr>
                <w:rFonts w:ascii="Verdana" w:hAnsi="Verdana" w:cs="Arial"/>
                <w:sz w:val="20"/>
                <w:szCs w:val="20"/>
              </w:rPr>
              <w:t>c)</w:t>
            </w:r>
            <w:r>
              <w:rPr>
                <w:rFonts w:ascii="Verdana" w:hAnsi="Verdana" w:cs="Arial"/>
                <w:sz w:val="20"/>
                <w:szCs w:val="20"/>
              </w:rPr>
              <w:t xml:space="preserve"> </w:t>
            </w:r>
            <w:r w:rsidR="00A67EAD">
              <w:rPr>
                <w:rFonts w:ascii="Verdana" w:hAnsi="Verdana" w:cs="Arial"/>
                <w:sz w:val="20"/>
                <w:szCs w:val="20"/>
              </w:rPr>
              <w:t>273</w:t>
            </w:r>
            <w:r w:rsidR="00134AA2">
              <w:rPr>
                <w:rFonts w:ascii="Verdana" w:hAnsi="Verdana" w:cs="Arial"/>
                <w:sz w:val="20"/>
                <w:szCs w:val="20"/>
              </w:rPr>
              <w:t>,</w:t>
            </w:r>
            <w:r w:rsidR="00A67EAD">
              <w:rPr>
                <w:rFonts w:ascii="Verdana" w:hAnsi="Verdana" w:cs="Arial"/>
                <w:sz w:val="20"/>
                <w:szCs w:val="20"/>
              </w:rPr>
              <w:t>5</w:t>
            </w:r>
            <w:r w:rsidRPr="006C7D70">
              <w:rPr>
                <w:rFonts w:ascii="Verdana" w:hAnsi="Verdana" w:cs="Arial"/>
                <w:sz w:val="20"/>
                <w:szCs w:val="20"/>
              </w:rPr>
              <w:t xml:space="preserve"> millones, pagos </w:t>
            </w:r>
            <w:r>
              <w:rPr>
                <w:rFonts w:ascii="Verdana" w:hAnsi="Verdana" w:cs="Arial"/>
                <w:sz w:val="20"/>
                <w:szCs w:val="20"/>
              </w:rPr>
              <w:t xml:space="preserve">del </w:t>
            </w:r>
            <w:r w:rsidRPr="006C7D70">
              <w:rPr>
                <w:rFonts w:ascii="Verdana" w:hAnsi="Verdana"/>
                <w:sz w:val="20"/>
                <w:szCs w:val="20"/>
              </w:rPr>
              <w:t>proyecto Fondo Verde del Clima.</w:t>
            </w:r>
          </w:p>
          <w:p w14:paraId="34CFA902" w14:textId="654D6BE4" w:rsidR="00580B9A" w:rsidRPr="00580B9A" w:rsidRDefault="00580B9A" w:rsidP="00580B9A">
            <w:pPr>
              <w:jc w:val="both"/>
              <w:rPr>
                <w:rFonts w:ascii="Verdana" w:hAnsi="Verdana"/>
                <w:sz w:val="20"/>
                <w:szCs w:val="20"/>
              </w:rPr>
            </w:pPr>
            <w:r>
              <w:rPr>
                <w:rFonts w:ascii="Verdana" w:hAnsi="Verdana"/>
                <w:sz w:val="20"/>
                <w:szCs w:val="20"/>
              </w:rPr>
              <w:t xml:space="preserve">d) </w:t>
            </w:r>
            <w:r w:rsidR="00134AA2">
              <w:rPr>
                <w:rFonts w:ascii="Verdana" w:hAnsi="Verdana"/>
                <w:sz w:val="20"/>
                <w:szCs w:val="20"/>
              </w:rPr>
              <w:t>61</w:t>
            </w:r>
            <w:r w:rsidRPr="00580B9A">
              <w:rPr>
                <w:rFonts w:ascii="Verdana" w:hAnsi="Verdana"/>
                <w:sz w:val="20"/>
                <w:szCs w:val="20"/>
              </w:rPr>
              <w:t>,</w:t>
            </w:r>
            <w:r>
              <w:rPr>
                <w:rFonts w:ascii="Verdana" w:hAnsi="Verdana"/>
                <w:sz w:val="20"/>
                <w:szCs w:val="20"/>
              </w:rPr>
              <w:t>0</w:t>
            </w:r>
            <w:r w:rsidRPr="00580B9A">
              <w:rPr>
                <w:rFonts w:ascii="Verdana" w:hAnsi="Verdana"/>
                <w:sz w:val="20"/>
                <w:szCs w:val="20"/>
              </w:rPr>
              <w:t xml:space="preserve"> millones por cuenta del proyecto Corporación Andina de Fomento.</w:t>
            </w:r>
          </w:p>
          <w:p w14:paraId="528F0325" w14:textId="05FC3D63" w:rsidR="00580B9A" w:rsidRPr="00A67EAD" w:rsidRDefault="00580B9A" w:rsidP="00A67EAD">
            <w:pPr>
              <w:jc w:val="both"/>
              <w:rPr>
                <w:rFonts w:ascii="Verdana" w:hAnsi="Verdana"/>
                <w:sz w:val="20"/>
                <w:szCs w:val="20"/>
              </w:rPr>
            </w:pPr>
            <w:r w:rsidRPr="00A67EAD">
              <w:rPr>
                <w:rFonts w:ascii="Verdana" w:hAnsi="Verdana" w:cs="Arial"/>
                <w:sz w:val="20"/>
                <w:szCs w:val="20"/>
              </w:rPr>
              <w:t xml:space="preserve">e) </w:t>
            </w:r>
            <w:r w:rsidR="00A67EAD">
              <w:rPr>
                <w:rFonts w:ascii="Verdana" w:hAnsi="Verdana" w:cs="Arial"/>
                <w:sz w:val="20"/>
                <w:szCs w:val="20"/>
              </w:rPr>
              <w:t>5</w:t>
            </w:r>
            <w:r w:rsidR="00C85BD5" w:rsidRPr="00A67EAD">
              <w:rPr>
                <w:rFonts w:ascii="Verdana" w:hAnsi="Verdana" w:cs="Arial"/>
                <w:sz w:val="20"/>
                <w:szCs w:val="20"/>
              </w:rPr>
              <w:t xml:space="preserve">,2 millones, pagos del proyecto </w:t>
            </w:r>
            <w:r w:rsidRPr="00A67EAD">
              <w:rPr>
                <w:rFonts w:ascii="Verdana" w:hAnsi="Verdana"/>
                <w:sz w:val="20"/>
                <w:szCs w:val="20"/>
              </w:rPr>
              <w:t>de Gobierno de Corea.</w:t>
            </w:r>
          </w:p>
          <w:p w14:paraId="66E95819" w14:textId="53787B75" w:rsidR="0004373C" w:rsidRPr="007C68D7" w:rsidRDefault="0004373C" w:rsidP="0004373C">
            <w:pPr>
              <w:jc w:val="both"/>
              <w:rPr>
                <w:rFonts w:ascii="Verdana" w:hAnsi="Verdana" w:cs="Arial"/>
                <w:sz w:val="20"/>
                <w:szCs w:val="20"/>
              </w:rPr>
            </w:pPr>
          </w:p>
          <w:p w14:paraId="20E5B796" w14:textId="40CA9DC5" w:rsidR="00C85BD5" w:rsidRDefault="00C85BD5" w:rsidP="00C85BD5">
            <w:pPr>
              <w:jc w:val="both"/>
              <w:rPr>
                <w:rFonts w:ascii="Verdana" w:hAnsi="Verdana"/>
                <w:sz w:val="20"/>
                <w:szCs w:val="20"/>
              </w:rPr>
            </w:pPr>
            <w:r>
              <w:rPr>
                <w:rFonts w:ascii="Verdana" w:hAnsi="Verdana" w:cs="Arial"/>
                <w:sz w:val="20"/>
                <w:szCs w:val="20"/>
              </w:rPr>
              <w:t>2</w:t>
            </w:r>
            <w:r w:rsidR="0004373C" w:rsidRPr="007C68D7">
              <w:rPr>
                <w:rFonts w:ascii="Verdana" w:hAnsi="Verdana" w:cs="Arial"/>
                <w:sz w:val="20"/>
                <w:szCs w:val="20"/>
              </w:rPr>
              <w:t xml:space="preserve">) Fortalecimiento de las capacidades tecnológicas de la información en APC-COLOMBIA, con el </w:t>
            </w:r>
            <w:r w:rsidR="00A67EAD">
              <w:rPr>
                <w:rFonts w:ascii="Verdana" w:hAnsi="Verdana" w:cs="Arial"/>
                <w:sz w:val="20"/>
                <w:szCs w:val="20"/>
              </w:rPr>
              <w:t>2,28</w:t>
            </w:r>
            <w:r w:rsidR="0004373C" w:rsidRPr="007C68D7">
              <w:rPr>
                <w:rFonts w:ascii="Verdana" w:hAnsi="Verdana" w:cs="Arial"/>
                <w:sz w:val="20"/>
                <w:szCs w:val="20"/>
              </w:rPr>
              <w:t xml:space="preserve">% de la ejecución en inversión, equivalente a </w:t>
            </w:r>
            <w:r w:rsidR="00A67EAD">
              <w:rPr>
                <w:rFonts w:ascii="Verdana" w:hAnsi="Verdana" w:cs="Arial"/>
                <w:sz w:val="20"/>
                <w:szCs w:val="20"/>
              </w:rPr>
              <w:t>76,4</w:t>
            </w:r>
            <w:r w:rsidR="0004373C" w:rsidRPr="007C68D7">
              <w:rPr>
                <w:rFonts w:ascii="Verdana" w:hAnsi="Verdana" w:cs="Arial"/>
                <w:sz w:val="20"/>
                <w:szCs w:val="20"/>
              </w:rPr>
              <w:t xml:space="preserve"> millones </w:t>
            </w:r>
            <w:r>
              <w:rPr>
                <w:rFonts w:ascii="Verdana" w:hAnsi="Verdana"/>
                <w:sz w:val="20"/>
                <w:szCs w:val="20"/>
              </w:rPr>
              <w:t xml:space="preserve">por el pago de </w:t>
            </w:r>
            <w:r w:rsidR="00A67EAD">
              <w:rPr>
                <w:rFonts w:ascii="Verdana" w:hAnsi="Verdana"/>
                <w:sz w:val="20"/>
                <w:szCs w:val="20"/>
              </w:rPr>
              <w:t>seis</w:t>
            </w:r>
            <w:r>
              <w:rPr>
                <w:rFonts w:ascii="Verdana" w:hAnsi="Verdana"/>
                <w:sz w:val="20"/>
                <w:szCs w:val="20"/>
              </w:rPr>
              <w:t xml:space="preserve"> </w:t>
            </w:r>
            <w:r w:rsidRPr="00EA3C52">
              <w:rPr>
                <w:rFonts w:ascii="Verdana" w:hAnsi="Verdana"/>
                <w:sz w:val="20"/>
                <w:szCs w:val="20"/>
              </w:rPr>
              <w:t>servicio</w:t>
            </w:r>
            <w:r w:rsidR="0083615A">
              <w:rPr>
                <w:rFonts w:ascii="Verdana" w:hAnsi="Verdana"/>
                <w:sz w:val="20"/>
                <w:szCs w:val="20"/>
              </w:rPr>
              <w:t>s</w:t>
            </w:r>
            <w:r>
              <w:rPr>
                <w:rFonts w:ascii="Verdana" w:hAnsi="Verdana"/>
                <w:sz w:val="20"/>
                <w:szCs w:val="20"/>
              </w:rPr>
              <w:t xml:space="preserve"> profesional</w:t>
            </w:r>
            <w:r w:rsidR="0083615A">
              <w:rPr>
                <w:rFonts w:ascii="Verdana" w:hAnsi="Verdana"/>
                <w:sz w:val="20"/>
                <w:szCs w:val="20"/>
              </w:rPr>
              <w:t>es</w:t>
            </w:r>
            <w:r>
              <w:rPr>
                <w:rFonts w:ascii="Verdana" w:hAnsi="Verdana"/>
                <w:sz w:val="20"/>
                <w:szCs w:val="20"/>
              </w:rPr>
              <w:t xml:space="preserve"> </w:t>
            </w:r>
            <w:r w:rsidRPr="00EA3C52">
              <w:rPr>
                <w:rFonts w:ascii="Verdana" w:hAnsi="Verdana"/>
                <w:sz w:val="20"/>
                <w:szCs w:val="20"/>
              </w:rPr>
              <w:t>para la gestión del proye</w:t>
            </w:r>
            <w:r>
              <w:rPr>
                <w:rFonts w:ascii="Verdana" w:hAnsi="Verdana"/>
                <w:sz w:val="20"/>
                <w:szCs w:val="20"/>
              </w:rPr>
              <w:t>cto.</w:t>
            </w:r>
            <w:r w:rsidRPr="00EA3C52">
              <w:rPr>
                <w:rFonts w:ascii="Verdana" w:hAnsi="Verdana"/>
                <w:sz w:val="20"/>
                <w:szCs w:val="20"/>
              </w:rPr>
              <w:t xml:space="preserve"> </w:t>
            </w:r>
          </w:p>
          <w:p w14:paraId="27C0BCAD" w14:textId="77777777" w:rsidR="006C7D70" w:rsidRDefault="006C7D70" w:rsidP="00C85BD5">
            <w:pPr>
              <w:jc w:val="both"/>
              <w:rPr>
                <w:rFonts w:ascii="Verdana" w:hAnsi="Verdana"/>
                <w:sz w:val="20"/>
                <w:szCs w:val="20"/>
              </w:rPr>
            </w:pPr>
          </w:p>
          <w:p w14:paraId="281301C1" w14:textId="4D12C13B" w:rsidR="001F6498" w:rsidRPr="009B7746" w:rsidRDefault="006C7D70" w:rsidP="00A67EAD">
            <w:pPr>
              <w:jc w:val="both"/>
              <w:rPr>
                <w:rFonts w:ascii="Verdana" w:hAnsi="Verdana"/>
                <w:sz w:val="20"/>
                <w:szCs w:val="20"/>
                <w:highlight w:val="yellow"/>
              </w:rPr>
            </w:pPr>
            <w:r>
              <w:rPr>
                <w:rFonts w:ascii="Verdana" w:hAnsi="Verdana"/>
                <w:sz w:val="20"/>
                <w:szCs w:val="20"/>
              </w:rPr>
              <w:t xml:space="preserve">3) Consolidación Del Sistema </w:t>
            </w:r>
            <w:r w:rsidRPr="00C62003">
              <w:rPr>
                <w:rFonts w:ascii="Verdana" w:hAnsi="Verdana"/>
                <w:sz w:val="20"/>
                <w:szCs w:val="20"/>
              </w:rPr>
              <w:t>Nacional De Cooperación Internacional A Nivel Nacional</w:t>
            </w:r>
            <w:r>
              <w:rPr>
                <w:rFonts w:ascii="Verdana" w:hAnsi="Verdana"/>
                <w:sz w:val="20"/>
                <w:szCs w:val="20"/>
              </w:rPr>
              <w:t xml:space="preserve">, con el </w:t>
            </w:r>
            <w:r w:rsidR="00A67EAD">
              <w:rPr>
                <w:rFonts w:ascii="Verdana" w:hAnsi="Verdana"/>
                <w:sz w:val="20"/>
                <w:szCs w:val="20"/>
              </w:rPr>
              <w:t>6,32</w:t>
            </w:r>
            <w:r>
              <w:rPr>
                <w:rFonts w:ascii="Verdana" w:hAnsi="Verdana"/>
                <w:sz w:val="20"/>
                <w:szCs w:val="20"/>
              </w:rPr>
              <w:t xml:space="preserve">% de la ejecución en inversión, equivalente a </w:t>
            </w:r>
            <w:r w:rsidR="00A67EAD">
              <w:rPr>
                <w:rFonts w:ascii="Verdana" w:hAnsi="Verdana"/>
                <w:sz w:val="20"/>
                <w:szCs w:val="20"/>
              </w:rPr>
              <w:t>211</w:t>
            </w:r>
            <w:r>
              <w:rPr>
                <w:rFonts w:ascii="Verdana" w:hAnsi="Verdana"/>
                <w:sz w:val="20"/>
                <w:szCs w:val="20"/>
              </w:rPr>
              <w:t xml:space="preserve">,9 millones para el pago del servicio de </w:t>
            </w:r>
            <w:r w:rsidR="00A67EAD">
              <w:rPr>
                <w:rFonts w:ascii="Verdana" w:hAnsi="Verdana"/>
                <w:sz w:val="20"/>
                <w:szCs w:val="20"/>
              </w:rPr>
              <w:t>siete</w:t>
            </w:r>
            <w:r>
              <w:rPr>
                <w:rFonts w:ascii="Verdana" w:hAnsi="Verdana"/>
                <w:sz w:val="20"/>
                <w:szCs w:val="20"/>
              </w:rPr>
              <w:t xml:space="preserve"> profesion</w:t>
            </w:r>
            <w:bookmarkStart w:id="0" w:name="_GoBack"/>
            <w:bookmarkEnd w:id="0"/>
            <w:r>
              <w:rPr>
                <w:rFonts w:ascii="Verdana" w:hAnsi="Verdana"/>
                <w:sz w:val="20"/>
                <w:szCs w:val="20"/>
              </w:rPr>
              <w:t>ales para la gestión del proyecto.</w:t>
            </w:r>
          </w:p>
        </w:tc>
      </w:tr>
    </w:tbl>
    <w:p w14:paraId="68C0ADC5" w14:textId="77777777" w:rsidR="00CA4EC6" w:rsidRPr="003C58A7" w:rsidRDefault="00CA4EC6" w:rsidP="00B41CB3">
      <w:pPr>
        <w:jc w:val="center"/>
        <w:rPr>
          <w:rFonts w:ascii="Verdana" w:hAnsi="Verdana"/>
          <w:b/>
          <w:sz w:val="20"/>
          <w:szCs w:val="20"/>
        </w:rPr>
      </w:pPr>
    </w:p>
    <w:sectPr w:rsidR="00CA4EC6" w:rsidRPr="003C58A7" w:rsidSect="00FB3B05">
      <w:headerReference w:type="default" r:id="rId8"/>
      <w:footerReference w:type="default" r:id="rId9"/>
      <w:pgSz w:w="15840" w:h="12240" w:orient="landscape"/>
      <w:pgMar w:top="1985"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BEDFD" w14:textId="77777777" w:rsidR="001A7C5F" w:rsidRDefault="001A7C5F" w:rsidP="000D42D2">
      <w:r>
        <w:separator/>
      </w:r>
    </w:p>
  </w:endnote>
  <w:endnote w:type="continuationSeparator" w:id="0">
    <w:p w14:paraId="4A68F574" w14:textId="77777777" w:rsidR="001A7C5F" w:rsidRDefault="001A7C5F" w:rsidP="000D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2A2E8" w14:textId="77777777" w:rsidR="00981DC4" w:rsidRDefault="003A11C2" w:rsidP="00B421C7">
    <w:pPr>
      <w:pStyle w:val="Piedepgina"/>
      <w:tabs>
        <w:tab w:val="clear" w:pos="4252"/>
        <w:tab w:val="clear" w:pos="8504"/>
        <w:tab w:val="left" w:pos="4138"/>
      </w:tabs>
    </w:pPr>
    <w:r>
      <w:rPr>
        <w:noProof/>
        <w:lang w:val="es-ES"/>
      </w:rPr>
      <w:drawing>
        <wp:anchor distT="0" distB="0" distL="114300" distR="114300" simplePos="0" relativeHeight="251666432" behindDoc="1" locked="0" layoutInCell="1" allowOverlap="1" wp14:anchorId="337E41CE" wp14:editId="0DAF49D7">
          <wp:simplePos x="0" y="0"/>
          <wp:positionH relativeFrom="column">
            <wp:posOffset>-881380</wp:posOffset>
          </wp:positionH>
          <wp:positionV relativeFrom="paragraph">
            <wp:posOffset>-285750</wp:posOffset>
          </wp:positionV>
          <wp:extent cx="10020300" cy="8953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castrillon:Documents:Logotipo APC-2018:PIEZAS:Hoja Carta:Formato-hoja carta-0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203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1C7">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E4D21" w14:textId="77777777" w:rsidR="001A7C5F" w:rsidRDefault="001A7C5F" w:rsidP="000D42D2">
      <w:r>
        <w:separator/>
      </w:r>
    </w:p>
  </w:footnote>
  <w:footnote w:type="continuationSeparator" w:id="0">
    <w:p w14:paraId="203BF72E" w14:textId="77777777" w:rsidR="001A7C5F" w:rsidRDefault="001A7C5F" w:rsidP="000D42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732E2" w14:textId="77777777" w:rsidR="00981DC4" w:rsidRDefault="003A11C2" w:rsidP="00FB3B05">
    <w:pPr>
      <w:pStyle w:val="Encabezado"/>
      <w:tabs>
        <w:tab w:val="clear" w:pos="4252"/>
        <w:tab w:val="clear" w:pos="8504"/>
        <w:tab w:val="left" w:pos="2822"/>
      </w:tabs>
    </w:pPr>
    <w:r>
      <w:rPr>
        <w:noProof/>
        <w:lang w:val="es-ES"/>
      </w:rPr>
      <w:drawing>
        <wp:anchor distT="0" distB="0" distL="114300" distR="114300" simplePos="0" relativeHeight="251664384" behindDoc="1" locked="0" layoutInCell="1" allowOverlap="1" wp14:anchorId="000B2DE5" wp14:editId="47EC5846">
          <wp:simplePos x="0" y="0"/>
          <wp:positionH relativeFrom="column">
            <wp:posOffset>23495</wp:posOffset>
          </wp:positionH>
          <wp:positionV relativeFrom="paragraph">
            <wp:posOffset>-135890</wp:posOffset>
          </wp:positionV>
          <wp:extent cx="4057650" cy="633095"/>
          <wp:effectExtent l="0" t="0" r="0" b="0"/>
          <wp:wrapTight wrapText="bothSides">
            <wp:wrapPolygon edited="0">
              <wp:start x="0" y="0"/>
              <wp:lineTo x="0" y="20798"/>
              <wp:lineTo x="21499" y="20798"/>
              <wp:lineTo x="21499" y="0"/>
              <wp:lineTo x="0"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57650" cy="633095"/>
                  </a:xfrm>
                  <a:prstGeom prst="rect">
                    <a:avLst/>
                  </a:prstGeom>
                </pic:spPr>
              </pic:pic>
            </a:graphicData>
          </a:graphic>
          <wp14:sizeRelH relativeFrom="margin">
            <wp14:pctWidth>0</wp14:pctWidth>
          </wp14:sizeRelH>
          <wp14:sizeRelV relativeFrom="margin">
            <wp14:pctHeight>0</wp14:pctHeight>
          </wp14:sizeRelV>
        </wp:anchor>
      </w:drawing>
    </w:r>
    <w:r w:rsidR="009B3370">
      <w:rPr>
        <w:rFonts w:ascii="Times New Roman" w:hAnsi="Times New Roman" w:cs="Times New Roman"/>
        <w:noProof/>
        <w:lang w:val="es-ES"/>
      </w:rPr>
      <mc:AlternateContent>
        <mc:Choice Requires="wps">
          <w:drawing>
            <wp:anchor distT="0" distB="0" distL="114300" distR="114300" simplePos="0" relativeHeight="251663360" behindDoc="0" locked="0" layoutInCell="1" allowOverlap="1" wp14:anchorId="5103441B" wp14:editId="05589CA6">
              <wp:simplePos x="0" y="0"/>
              <wp:positionH relativeFrom="margin">
                <wp:posOffset>2332355</wp:posOffset>
              </wp:positionH>
              <wp:positionV relativeFrom="paragraph">
                <wp:posOffset>607060</wp:posOffset>
              </wp:positionV>
              <wp:extent cx="2593340" cy="176530"/>
              <wp:effectExtent l="0" t="0" r="0" b="508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073F5" w14:textId="77777777" w:rsidR="009B3370" w:rsidRDefault="009B3370" w:rsidP="009B3370">
                          <w:pPr>
                            <w:pStyle w:val="NormalWeb"/>
                            <w:tabs>
                              <w:tab w:val="center" w:pos="4419"/>
                              <w:tab w:val="right" w:pos="7655"/>
                              <w:tab w:val="right" w:pos="8838"/>
                            </w:tabs>
                            <w:rPr>
                              <w:rFonts w:ascii="Arial Narrow" w:eastAsiaTheme="minorHAnsi" w:hAnsi="Arial Narrow" w:cstheme="minorBidi"/>
                              <w:bCs/>
                              <w:sz w:val="14"/>
                              <w:lang w:val="es-MX"/>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103441B" id="_x0000_t202" coordsize="21600,21600" o:spt="202" path="m,l,21600r21600,l21600,xe">
              <v:stroke joinstyle="miter"/>
              <v:path gradientshapeok="t" o:connecttype="rect"/>
            </v:shapetype>
            <v:shape id="Cuadro de texto 1" o:spid="_x0000_s1026" type="#_x0000_t202" style="position:absolute;margin-left:183.65pt;margin-top:47.8pt;width:204.2pt;height:13.9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" filled="f" stroked="f">
              <v:textbox style="mso-fit-shape-to-text:t">
                <w:txbxContent>
                  <w:p w14:paraId="18B073F5" w14:textId="77777777" w:rsidR="009B3370" w:rsidRDefault="009B3370" w:rsidP="009B3370">
                    <w:pPr>
                      <w:pStyle w:val="NormalWeb"/>
                      <w:tabs>
                        <w:tab w:val="center" w:pos="4419"/>
                        <w:tab w:val="right" w:pos="7655"/>
                        <w:tab w:val="right" w:pos="8838"/>
                      </w:tabs>
                      <w:rPr>
                        <w:rFonts w:ascii="Arial Narrow" w:eastAsiaTheme="minorHAnsi" w:hAnsi="Arial Narrow" w:cstheme="minorBidi"/>
                        <w:bCs/>
                        <w:sz w:val="14"/>
                        <w:lang w:val="es-MX"/>
                      </w:rPr>
                    </w:pPr>
                  </w:p>
                </w:txbxContent>
              </v:textbox>
              <w10:wrap anchorx="margin"/>
            </v:shape>
          </w:pict>
        </mc:Fallback>
      </mc:AlternateContent>
    </w:r>
    <w:r w:rsidR="00FB3B0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229"/>
    <w:multiLevelType w:val="hybridMultilevel"/>
    <w:tmpl w:val="E7623E80"/>
    <w:lvl w:ilvl="0" w:tplc="F8C67702">
      <w:start w:val="1"/>
      <w:numFmt w:val="lowerLetter"/>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BE7498"/>
    <w:multiLevelType w:val="hybridMultilevel"/>
    <w:tmpl w:val="C0B69214"/>
    <w:lvl w:ilvl="0" w:tplc="7908C24E">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2" w15:restartNumberingAfterBreak="0">
    <w:nsid w:val="087636BA"/>
    <w:multiLevelType w:val="hybridMultilevel"/>
    <w:tmpl w:val="0B1A480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3B667A"/>
    <w:multiLevelType w:val="hybridMultilevel"/>
    <w:tmpl w:val="95AECA1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5F4927"/>
    <w:multiLevelType w:val="hybridMultilevel"/>
    <w:tmpl w:val="2592D2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8E46A2F"/>
    <w:multiLevelType w:val="hybridMultilevel"/>
    <w:tmpl w:val="E68291C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9BD616E"/>
    <w:multiLevelType w:val="hybridMultilevel"/>
    <w:tmpl w:val="34A86B9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A2BA3"/>
    <w:multiLevelType w:val="hybridMultilevel"/>
    <w:tmpl w:val="B0E26F16"/>
    <w:lvl w:ilvl="0" w:tplc="2480CDB8">
      <w:start w:val="1"/>
      <w:numFmt w:val="decimal"/>
      <w:lvlText w:val="%1)"/>
      <w:lvlJc w:val="left"/>
      <w:pPr>
        <w:ind w:left="720" w:hanging="360"/>
      </w:pPr>
      <w:rPr>
        <w:rFonts w:ascii="Verdana" w:eastAsiaTheme="minorEastAsia" w:hAnsi="Verdana"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8F381F"/>
    <w:multiLevelType w:val="hybridMultilevel"/>
    <w:tmpl w:val="4112CC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68139B4"/>
    <w:multiLevelType w:val="hybridMultilevel"/>
    <w:tmpl w:val="366E6A82"/>
    <w:lvl w:ilvl="0" w:tplc="2BCECB1A">
      <w:start w:val="1"/>
      <w:numFmt w:val="lowerLetter"/>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205023"/>
    <w:multiLevelType w:val="hybridMultilevel"/>
    <w:tmpl w:val="F042C28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D17864"/>
    <w:multiLevelType w:val="hybridMultilevel"/>
    <w:tmpl w:val="C0E81EB4"/>
    <w:lvl w:ilvl="0" w:tplc="F50A3496">
      <w:start w:val="1"/>
      <w:numFmt w:val="upperLetter"/>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634CAD"/>
    <w:multiLevelType w:val="hybridMultilevel"/>
    <w:tmpl w:val="F528BA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00E2595"/>
    <w:multiLevelType w:val="hybridMultilevel"/>
    <w:tmpl w:val="091CF8A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43E5393"/>
    <w:multiLevelType w:val="hybridMultilevel"/>
    <w:tmpl w:val="47B450A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58609D0"/>
    <w:multiLevelType w:val="hybridMultilevel"/>
    <w:tmpl w:val="BF62CA10"/>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72E92446"/>
    <w:multiLevelType w:val="hybridMultilevel"/>
    <w:tmpl w:val="72047ECA"/>
    <w:lvl w:ilvl="0" w:tplc="240A000B">
      <w:start w:val="1"/>
      <w:numFmt w:val="bullet"/>
      <w:lvlText w:val=""/>
      <w:lvlJc w:val="left"/>
      <w:pPr>
        <w:ind w:left="795" w:hanging="360"/>
      </w:pPr>
      <w:rPr>
        <w:rFonts w:ascii="Wingdings" w:hAnsi="Wingdings"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7" w15:restartNumberingAfterBreak="0">
    <w:nsid w:val="773A4BAE"/>
    <w:multiLevelType w:val="hybridMultilevel"/>
    <w:tmpl w:val="CFD2329C"/>
    <w:lvl w:ilvl="0" w:tplc="2F5EB226">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B46002B"/>
    <w:multiLevelType w:val="hybridMultilevel"/>
    <w:tmpl w:val="518E12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4"/>
  </w:num>
  <w:num w:numId="3">
    <w:abstractNumId w:val="10"/>
  </w:num>
  <w:num w:numId="4">
    <w:abstractNumId w:val="13"/>
  </w:num>
  <w:num w:numId="5">
    <w:abstractNumId w:val="14"/>
  </w:num>
  <w:num w:numId="6">
    <w:abstractNumId w:val="1"/>
  </w:num>
  <w:num w:numId="7">
    <w:abstractNumId w:val="7"/>
  </w:num>
  <w:num w:numId="8">
    <w:abstractNumId w:val="2"/>
  </w:num>
  <w:num w:numId="9">
    <w:abstractNumId w:val="8"/>
  </w:num>
  <w:num w:numId="10">
    <w:abstractNumId w:val="6"/>
  </w:num>
  <w:num w:numId="11">
    <w:abstractNumId w:val="12"/>
  </w:num>
  <w:num w:numId="12">
    <w:abstractNumId w:val="18"/>
  </w:num>
  <w:num w:numId="13">
    <w:abstractNumId w:val="17"/>
  </w:num>
  <w:num w:numId="14">
    <w:abstractNumId w:val="3"/>
  </w:num>
  <w:num w:numId="15">
    <w:abstractNumId w:val="15"/>
  </w:num>
  <w:num w:numId="16">
    <w:abstractNumId w:val="5"/>
  </w:num>
  <w:num w:numId="17">
    <w:abstractNumId w:val="11"/>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D2"/>
    <w:rsid w:val="00001159"/>
    <w:rsid w:val="0000129B"/>
    <w:rsid w:val="0000150E"/>
    <w:rsid w:val="00002183"/>
    <w:rsid w:val="000023EC"/>
    <w:rsid w:val="00002DBF"/>
    <w:rsid w:val="00007621"/>
    <w:rsid w:val="000101B6"/>
    <w:rsid w:val="00012B2E"/>
    <w:rsid w:val="000135D9"/>
    <w:rsid w:val="000145BA"/>
    <w:rsid w:val="000239CD"/>
    <w:rsid w:val="000245A9"/>
    <w:rsid w:val="000258B2"/>
    <w:rsid w:val="000265A6"/>
    <w:rsid w:val="0003104B"/>
    <w:rsid w:val="00031AEF"/>
    <w:rsid w:val="000322FF"/>
    <w:rsid w:val="000327FA"/>
    <w:rsid w:val="00033284"/>
    <w:rsid w:val="0003383D"/>
    <w:rsid w:val="000345DF"/>
    <w:rsid w:val="00034819"/>
    <w:rsid w:val="000355ED"/>
    <w:rsid w:val="00036003"/>
    <w:rsid w:val="000363B7"/>
    <w:rsid w:val="000419AD"/>
    <w:rsid w:val="00041BCF"/>
    <w:rsid w:val="0004373C"/>
    <w:rsid w:val="00044C82"/>
    <w:rsid w:val="000455A0"/>
    <w:rsid w:val="00045732"/>
    <w:rsid w:val="00047B73"/>
    <w:rsid w:val="00052079"/>
    <w:rsid w:val="00052AB3"/>
    <w:rsid w:val="00052EE3"/>
    <w:rsid w:val="0005426F"/>
    <w:rsid w:val="00062CAB"/>
    <w:rsid w:val="00066FF6"/>
    <w:rsid w:val="000670E3"/>
    <w:rsid w:val="00070B9F"/>
    <w:rsid w:val="00072D5B"/>
    <w:rsid w:val="000749FF"/>
    <w:rsid w:val="000756F0"/>
    <w:rsid w:val="00076094"/>
    <w:rsid w:val="00076138"/>
    <w:rsid w:val="0008212A"/>
    <w:rsid w:val="00083246"/>
    <w:rsid w:val="00084411"/>
    <w:rsid w:val="00084B60"/>
    <w:rsid w:val="0008702D"/>
    <w:rsid w:val="00087216"/>
    <w:rsid w:val="00087EB8"/>
    <w:rsid w:val="00090729"/>
    <w:rsid w:val="00091634"/>
    <w:rsid w:val="00091CF9"/>
    <w:rsid w:val="000944BB"/>
    <w:rsid w:val="00097F47"/>
    <w:rsid w:val="000A0797"/>
    <w:rsid w:val="000A0999"/>
    <w:rsid w:val="000A103A"/>
    <w:rsid w:val="000A230A"/>
    <w:rsid w:val="000A338A"/>
    <w:rsid w:val="000A3642"/>
    <w:rsid w:val="000A3E20"/>
    <w:rsid w:val="000A58D8"/>
    <w:rsid w:val="000A6AED"/>
    <w:rsid w:val="000B10ED"/>
    <w:rsid w:val="000B4931"/>
    <w:rsid w:val="000B4CFF"/>
    <w:rsid w:val="000B688F"/>
    <w:rsid w:val="000C0F06"/>
    <w:rsid w:val="000C5C51"/>
    <w:rsid w:val="000C745E"/>
    <w:rsid w:val="000D0CCE"/>
    <w:rsid w:val="000D25B0"/>
    <w:rsid w:val="000D3334"/>
    <w:rsid w:val="000D3FEB"/>
    <w:rsid w:val="000D42D2"/>
    <w:rsid w:val="000D46E1"/>
    <w:rsid w:val="000E3954"/>
    <w:rsid w:val="000E4495"/>
    <w:rsid w:val="000E4B37"/>
    <w:rsid w:val="000E582D"/>
    <w:rsid w:val="000E7A76"/>
    <w:rsid w:val="000F00F2"/>
    <w:rsid w:val="000F097E"/>
    <w:rsid w:val="000F43E9"/>
    <w:rsid w:val="000F50CE"/>
    <w:rsid w:val="000F5F4F"/>
    <w:rsid w:val="000F74E7"/>
    <w:rsid w:val="00100B8A"/>
    <w:rsid w:val="00100BDB"/>
    <w:rsid w:val="001012B9"/>
    <w:rsid w:val="00103AEF"/>
    <w:rsid w:val="00103CD2"/>
    <w:rsid w:val="00104122"/>
    <w:rsid w:val="00104B75"/>
    <w:rsid w:val="0010548D"/>
    <w:rsid w:val="00106029"/>
    <w:rsid w:val="00110126"/>
    <w:rsid w:val="0011015F"/>
    <w:rsid w:val="001117A6"/>
    <w:rsid w:val="00112015"/>
    <w:rsid w:val="00112321"/>
    <w:rsid w:val="00113698"/>
    <w:rsid w:val="00113F88"/>
    <w:rsid w:val="001159B7"/>
    <w:rsid w:val="001160A3"/>
    <w:rsid w:val="00116FC5"/>
    <w:rsid w:val="0012070D"/>
    <w:rsid w:val="001208B7"/>
    <w:rsid w:val="001217CD"/>
    <w:rsid w:val="0012189C"/>
    <w:rsid w:val="00121948"/>
    <w:rsid w:val="00123A1A"/>
    <w:rsid w:val="00123DEA"/>
    <w:rsid w:val="001243F5"/>
    <w:rsid w:val="00124C7F"/>
    <w:rsid w:val="001251B0"/>
    <w:rsid w:val="00126649"/>
    <w:rsid w:val="00126F41"/>
    <w:rsid w:val="00127466"/>
    <w:rsid w:val="00130EF2"/>
    <w:rsid w:val="00134AA2"/>
    <w:rsid w:val="001358DD"/>
    <w:rsid w:val="001401CF"/>
    <w:rsid w:val="00143276"/>
    <w:rsid w:val="00144029"/>
    <w:rsid w:val="00144592"/>
    <w:rsid w:val="001447A3"/>
    <w:rsid w:val="00145653"/>
    <w:rsid w:val="00146065"/>
    <w:rsid w:val="00147638"/>
    <w:rsid w:val="00154350"/>
    <w:rsid w:val="00154641"/>
    <w:rsid w:val="00155E80"/>
    <w:rsid w:val="0015718A"/>
    <w:rsid w:val="001574A9"/>
    <w:rsid w:val="00160E5D"/>
    <w:rsid w:val="001620CE"/>
    <w:rsid w:val="001635AC"/>
    <w:rsid w:val="001644BB"/>
    <w:rsid w:val="001645D6"/>
    <w:rsid w:val="0016603E"/>
    <w:rsid w:val="00172997"/>
    <w:rsid w:val="00172CB9"/>
    <w:rsid w:val="001738E7"/>
    <w:rsid w:val="00176925"/>
    <w:rsid w:val="00177162"/>
    <w:rsid w:val="00182BFD"/>
    <w:rsid w:val="00182C5F"/>
    <w:rsid w:val="0018536E"/>
    <w:rsid w:val="0018636A"/>
    <w:rsid w:val="00190B4F"/>
    <w:rsid w:val="00192EC0"/>
    <w:rsid w:val="00195CB4"/>
    <w:rsid w:val="001968AE"/>
    <w:rsid w:val="00196AAC"/>
    <w:rsid w:val="00196D9B"/>
    <w:rsid w:val="001974EF"/>
    <w:rsid w:val="001A11F3"/>
    <w:rsid w:val="001A2C44"/>
    <w:rsid w:val="001A3E44"/>
    <w:rsid w:val="001A40CB"/>
    <w:rsid w:val="001A449D"/>
    <w:rsid w:val="001A58BC"/>
    <w:rsid w:val="001A5CE3"/>
    <w:rsid w:val="001A7A79"/>
    <w:rsid w:val="001A7C5F"/>
    <w:rsid w:val="001A7FF3"/>
    <w:rsid w:val="001B015C"/>
    <w:rsid w:val="001B14AF"/>
    <w:rsid w:val="001B1F16"/>
    <w:rsid w:val="001B2BED"/>
    <w:rsid w:val="001B4690"/>
    <w:rsid w:val="001B64CC"/>
    <w:rsid w:val="001B7049"/>
    <w:rsid w:val="001C0118"/>
    <w:rsid w:val="001C0F84"/>
    <w:rsid w:val="001C1F0E"/>
    <w:rsid w:val="001C2367"/>
    <w:rsid w:val="001C3F9F"/>
    <w:rsid w:val="001C53A2"/>
    <w:rsid w:val="001C725E"/>
    <w:rsid w:val="001D11D2"/>
    <w:rsid w:val="001D1D07"/>
    <w:rsid w:val="001D5307"/>
    <w:rsid w:val="001D7680"/>
    <w:rsid w:val="001E0801"/>
    <w:rsid w:val="001E22C0"/>
    <w:rsid w:val="001E2EA5"/>
    <w:rsid w:val="001E4610"/>
    <w:rsid w:val="001E4FA5"/>
    <w:rsid w:val="001E5A6C"/>
    <w:rsid w:val="001E6568"/>
    <w:rsid w:val="001E6F30"/>
    <w:rsid w:val="001E7DFA"/>
    <w:rsid w:val="001F5002"/>
    <w:rsid w:val="001F5213"/>
    <w:rsid w:val="001F6498"/>
    <w:rsid w:val="001F6745"/>
    <w:rsid w:val="00203FD4"/>
    <w:rsid w:val="00205C13"/>
    <w:rsid w:val="00205D21"/>
    <w:rsid w:val="00206E99"/>
    <w:rsid w:val="00211E13"/>
    <w:rsid w:val="00212C54"/>
    <w:rsid w:val="00212D93"/>
    <w:rsid w:val="00213397"/>
    <w:rsid w:val="00213C4B"/>
    <w:rsid w:val="00216932"/>
    <w:rsid w:val="0022076C"/>
    <w:rsid w:val="00220BAC"/>
    <w:rsid w:val="0022316E"/>
    <w:rsid w:val="0022342E"/>
    <w:rsid w:val="00224892"/>
    <w:rsid w:val="0023060C"/>
    <w:rsid w:val="00232C17"/>
    <w:rsid w:val="00234513"/>
    <w:rsid w:val="00234E57"/>
    <w:rsid w:val="002354E5"/>
    <w:rsid w:val="00237829"/>
    <w:rsid w:val="00241F24"/>
    <w:rsid w:val="00243D5E"/>
    <w:rsid w:val="00244E97"/>
    <w:rsid w:val="002457D5"/>
    <w:rsid w:val="00245D35"/>
    <w:rsid w:val="00246011"/>
    <w:rsid w:val="00247819"/>
    <w:rsid w:val="0025037B"/>
    <w:rsid w:val="00250DE8"/>
    <w:rsid w:val="00251F73"/>
    <w:rsid w:val="00254694"/>
    <w:rsid w:val="00254A0E"/>
    <w:rsid w:val="00255E96"/>
    <w:rsid w:val="002571E7"/>
    <w:rsid w:val="0026092F"/>
    <w:rsid w:val="00264608"/>
    <w:rsid w:val="00265A04"/>
    <w:rsid w:val="00265D9B"/>
    <w:rsid w:val="0027249A"/>
    <w:rsid w:val="00273008"/>
    <w:rsid w:val="00274952"/>
    <w:rsid w:val="00274FB5"/>
    <w:rsid w:val="002758E6"/>
    <w:rsid w:val="002762E5"/>
    <w:rsid w:val="002772EE"/>
    <w:rsid w:val="00277378"/>
    <w:rsid w:val="00283B0B"/>
    <w:rsid w:val="00284182"/>
    <w:rsid w:val="00286DF3"/>
    <w:rsid w:val="002876A6"/>
    <w:rsid w:val="00291F1C"/>
    <w:rsid w:val="002926C1"/>
    <w:rsid w:val="00292784"/>
    <w:rsid w:val="00293476"/>
    <w:rsid w:val="00296429"/>
    <w:rsid w:val="00296A70"/>
    <w:rsid w:val="002A0D37"/>
    <w:rsid w:val="002A1602"/>
    <w:rsid w:val="002A240D"/>
    <w:rsid w:val="002A3D8F"/>
    <w:rsid w:val="002A6251"/>
    <w:rsid w:val="002A6F64"/>
    <w:rsid w:val="002B1293"/>
    <w:rsid w:val="002B13F8"/>
    <w:rsid w:val="002B1F8C"/>
    <w:rsid w:val="002B2795"/>
    <w:rsid w:val="002B3F03"/>
    <w:rsid w:val="002B435B"/>
    <w:rsid w:val="002B4E41"/>
    <w:rsid w:val="002B6279"/>
    <w:rsid w:val="002B6891"/>
    <w:rsid w:val="002B7882"/>
    <w:rsid w:val="002B7AF6"/>
    <w:rsid w:val="002B7C0A"/>
    <w:rsid w:val="002C4438"/>
    <w:rsid w:val="002C483A"/>
    <w:rsid w:val="002C5256"/>
    <w:rsid w:val="002C53DD"/>
    <w:rsid w:val="002C63AF"/>
    <w:rsid w:val="002D03FC"/>
    <w:rsid w:val="002D0C5C"/>
    <w:rsid w:val="002D1ED3"/>
    <w:rsid w:val="002D4564"/>
    <w:rsid w:val="002D4C07"/>
    <w:rsid w:val="002D5316"/>
    <w:rsid w:val="002D5AE0"/>
    <w:rsid w:val="002D6765"/>
    <w:rsid w:val="002D6DF6"/>
    <w:rsid w:val="002E19CE"/>
    <w:rsid w:val="002F06C2"/>
    <w:rsid w:val="002F433E"/>
    <w:rsid w:val="002F4FDB"/>
    <w:rsid w:val="002F531E"/>
    <w:rsid w:val="002F77CB"/>
    <w:rsid w:val="00302CBA"/>
    <w:rsid w:val="0030355A"/>
    <w:rsid w:val="003074AA"/>
    <w:rsid w:val="00313B5F"/>
    <w:rsid w:val="00315431"/>
    <w:rsid w:val="00315643"/>
    <w:rsid w:val="00316E86"/>
    <w:rsid w:val="00321E7F"/>
    <w:rsid w:val="00324055"/>
    <w:rsid w:val="00324FBA"/>
    <w:rsid w:val="00326A4A"/>
    <w:rsid w:val="00326F9E"/>
    <w:rsid w:val="00330D08"/>
    <w:rsid w:val="00331583"/>
    <w:rsid w:val="0033305E"/>
    <w:rsid w:val="00333A74"/>
    <w:rsid w:val="00333AF5"/>
    <w:rsid w:val="003353FB"/>
    <w:rsid w:val="003357D2"/>
    <w:rsid w:val="00341497"/>
    <w:rsid w:val="00342BC9"/>
    <w:rsid w:val="00344DCE"/>
    <w:rsid w:val="00347499"/>
    <w:rsid w:val="0034775A"/>
    <w:rsid w:val="00350551"/>
    <w:rsid w:val="00353B9A"/>
    <w:rsid w:val="00355DFC"/>
    <w:rsid w:val="00363008"/>
    <w:rsid w:val="00363BED"/>
    <w:rsid w:val="003656E7"/>
    <w:rsid w:val="00365E78"/>
    <w:rsid w:val="0036641A"/>
    <w:rsid w:val="0037032C"/>
    <w:rsid w:val="003725D8"/>
    <w:rsid w:val="00374439"/>
    <w:rsid w:val="003754DB"/>
    <w:rsid w:val="0037712E"/>
    <w:rsid w:val="003775DA"/>
    <w:rsid w:val="00380F49"/>
    <w:rsid w:val="00382221"/>
    <w:rsid w:val="003827F0"/>
    <w:rsid w:val="00382C70"/>
    <w:rsid w:val="00383069"/>
    <w:rsid w:val="00383503"/>
    <w:rsid w:val="00384BA9"/>
    <w:rsid w:val="003879A1"/>
    <w:rsid w:val="00391F15"/>
    <w:rsid w:val="00392FD5"/>
    <w:rsid w:val="00395614"/>
    <w:rsid w:val="0039662D"/>
    <w:rsid w:val="003966EE"/>
    <w:rsid w:val="00396EBF"/>
    <w:rsid w:val="00396EFB"/>
    <w:rsid w:val="00397300"/>
    <w:rsid w:val="00397826"/>
    <w:rsid w:val="003A0145"/>
    <w:rsid w:val="003A070E"/>
    <w:rsid w:val="003A09C5"/>
    <w:rsid w:val="003A11C2"/>
    <w:rsid w:val="003A31FA"/>
    <w:rsid w:val="003A3C1F"/>
    <w:rsid w:val="003A5684"/>
    <w:rsid w:val="003A5F8C"/>
    <w:rsid w:val="003A6701"/>
    <w:rsid w:val="003A6AFB"/>
    <w:rsid w:val="003A742D"/>
    <w:rsid w:val="003B19A9"/>
    <w:rsid w:val="003B4098"/>
    <w:rsid w:val="003B44FE"/>
    <w:rsid w:val="003B61E7"/>
    <w:rsid w:val="003B73DB"/>
    <w:rsid w:val="003C118D"/>
    <w:rsid w:val="003C330C"/>
    <w:rsid w:val="003C396A"/>
    <w:rsid w:val="003C4D32"/>
    <w:rsid w:val="003C51CF"/>
    <w:rsid w:val="003C58A7"/>
    <w:rsid w:val="003C5BB3"/>
    <w:rsid w:val="003C6BE9"/>
    <w:rsid w:val="003C76D4"/>
    <w:rsid w:val="003C7ECA"/>
    <w:rsid w:val="003D267A"/>
    <w:rsid w:val="003D28B1"/>
    <w:rsid w:val="003D3D42"/>
    <w:rsid w:val="003D528E"/>
    <w:rsid w:val="003D52A5"/>
    <w:rsid w:val="003D6889"/>
    <w:rsid w:val="003D76DD"/>
    <w:rsid w:val="003D7739"/>
    <w:rsid w:val="003D79E0"/>
    <w:rsid w:val="003D7C1A"/>
    <w:rsid w:val="003E01B6"/>
    <w:rsid w:val="003E10C8"/>
    <w:rsid w:val="003E17AF"/>
    <w:rsid w:val="003E351F"/>
    <w:rsid w:val="003E42EA"/>
    <w:rsid w:val="003F06C2"/>
    <w:rsid w:val="003F0AD5"/>
    <w:rsid w:val="003F2322"/>
    <w:rsid w:val="003F246B"/>
    <w:rsid w:val="003F27E7"/>
    <w:rsid w:val="003F347F"/>
    <w:rsid w:val="003F607B"/>
    <w:rsid w:val="00404E97"/>
    <w:rsid w:val="00411873"/>
    <w:rsid w:val="00412D82"/>
    <w:rsid w:val="00413E0C"/>
    <w:rsid w:val="00415A61"/>
    <w:rsid w:val="004162C2"/>
    <w:rsid w:val="0042533F"/>
    <w:rsid w:val="00425BBC"/>
    <w:rsid w:val="00426BF5"/>
    <w:rsid w:val="00426D3A"/>
    <w:rsid w:val="00427DCD"/>
    <w:rsid w:val="004339F0"/>
    <w:rsid w:val="004346C7"/>
    <w:rsid w:val="00434987"/>
    <w:rsid w:val="00434D94"/>
    <w:rsid w:val="004364CC"/>
    <w:rsid w:val="00441C38"/>
    <w:rsid w:val="00443E32"/>
    <w:rsid w:val="004440F8"/>
    <w:rsid w:val="004442B1"/>
    <w:rsid w:val="0044552A"/>
    <w:rsid w:val="00450097"/>
    <w:rsid w:val="004506C0"/>
    <w:rsid w:val="004509FE"/>
    <w:rsid w:val="0045189C"/>
    <w:rsid w:val="00451D8B"/>
    <w:rsid w:val="00453ED1"/>
    <w:rsid w:val="00455F72"/>
    <w:rsid w:val="00456CE5"/>
    <w:rsid w:val="0046016B"/>
    <w:rsid w:val="00460C08"/>
    <w:rsid w:val="004624AB"/>
    <w:rsid w:val="0046420F"/>
    <w:rsid w:val="00464CE7"/>
    <w:rsid w:val="004672AF"/>
    <w:rsid w:val="00470513"/>
    <w:rsid w:val="00470F59"/>
    <w:rsid w:val="00474DCA"/>
    <w:rsid w:val="00474FBD"/>
    <w:rsid w:val="004757DE"/>
    <w:rsid w:val="00475859"/>
    <w:rsid w:val="00476DFF"/>
    <w:rsid w:val="004775B7"/>
    <w:rsid w:val="004779AA"/>
    <w:rsid w:val="00480F2E"/>
    <w:rsid w:val="00481B46"/>
    <w:rsid w:val="00482E4C"/>
    <w:rsid w:val="00483329"/>
    <w:rsid w:val="00483E61"/>
    <w:rsid w:val="00485CA6"/>
    <w:rsid w:val="00490246"/>
    <w:rsid w:val="00490925"/>
    <w:rsid w:val="00491107"/>
    <w:rsid w:val="00491D45"/>
    <w:rsid w:val="00493ADA"/>
    <w:rsid w:val="004946BE"/>
    <w:rsid w:val="00494F72"/>
    <w:rsid w:val="004952EB"/>
    <w:rsid w:val="00496035"/>
    <w:rsid w:val="00496162"/>
    <w:rsid w:val="004969E0"/>
    <w:rsid w:val="004A125D"/>
    <w:rsid w:val="004A21C2"/>
    <w:rsid w:val="004A25FD"/>
    <w:rsid w:val="004A5F54"/>
    <w:rsid w:val="004A6740"/>
    <w:rsid w:val="004A6809"/>
    <w:rsid w:val="004A6F38"/>
    <w:rsid w:val="004B0727"/>
    <w:rsid w:val="004B5269"/>
    <w:rsid w:val="004C43E8"/>
    <w:rsid w:val="004C471E"/>
    <w:rsid w:val="004C5B4B"/>
    <w:rsid w:val="004C6454"/>
    <w:rsid w:val="004D29CE"/>
    <w:rsid w:val="004D29D4"/>
    <w:rsid w:val="004D51DB"/>
    <w:rsid w:val="004D5329"/>
    <w:rsid w:val="004D5344"/>
    <w:rsid w:val="004D5B1A"/>
    <w:rsid w:val="004D71C5"/>
    <w:rsid w:val="004E301F"/>
    <w:rsid w:val="004E390C"/>
    <w:rsid w:val="004E4201"/>
    <w:rsid w:val="004E52EC"/>
    <w:rsid w:val="004E5B75"/>
    <w:rsid w:val="004E6A4F"/>
    <w:rsid w:val="004F169C"/>
    <w:rsid w:val="004F2CF7"/>
    <w:rsid w:val="004F2FC9"/>
    <w:rsid w:val="004F6CA7"/>
    <w:rsid w:val="004F7677"/>
    <w:rsid w:val="004F7D1E"/>
    <w:rsid w:val="005021C4"/>
    <w:rsid w:val="005035AC"/>
    <w:rsid w:val="00503875"/>
    <w:rsid w:val="00503B17"/>
    <w:rsid w:val="0050461D"/>
    <w:rsid w:val="00506081"/>
    <w:rsid w:val="00506639"/>
    <w:rsid w:val="005110AE"/>
    <w:rsid w:val="00511E8C"/>
    <w:rsid w:val="00512D3D"/>
    <w:rsid w:val="005130AA"/>
    <w:rsid w:val="005137E7"/>
    <w:rsid w:val="00514817"/>
    <w:rsid w:val="00514D4B"/>
    <w:rsid w:val="0051568B"/>
    <w:rsid w:val="00516FBD"/>
    <w:rsid w:val="00517D33"/>
    <w:rsid w:val="00517EEF"/>
    <w:rsid w:val="00520853"/>
    <w:rsid w:val="00520F26"/>
    <w:rsid w:val="00522588"/>
    <w:rsid w:val="005238A0"/>
    <w:rsid w:val="00524876"/>
    <w:rsid w:val="00524F43"/>
    <w:rsid w:val="00525787"/>
    <w:rsid w:val="005274AA"/>
    <w:rsid w:val="00527BBB"/>
    <w:rsid w:val="00527C49"/>
    <w:rsid w:val="00532ACA"/>
    <w:rsid w:val="005341C8"/>
    <w:rsid w:val="005365D4"/>
    <w:rsid w:val="00536711"/>
    <w:rsid w:val="00541CCA"/>
    <w:rsid w:val="00543E04"/>
    <w:rsid w:val="00545594"/>
    <w:rsid w:val="00551A00"/>
    <w:rsid w:val="005536DB"/>
    <w:rsid w:val="00554D2D"/>
    <w:rsid w:val="00554E60"/>
    <w:rsid w:val="005572D7"/>
    <w:rsid w:val="0055737F"/>
    <w:rsid w:val="00557A65"/>
    <w:rsid w:val="00557C55"/>
    <w:rsid w:val="00560B40"/>
    <w:rsid w:val="00563092"/>
    <w:rsid w:val="00563108"/>
    <w:rsid w:val="00567A1B"/>
    <w:rsid w:val="00570CDD"/>
    <w:rsid w:val="005745D3"/>
    <w:rsid w:val="005756B9"/>
    <w:rsid w:val="005778FA"/>
    <w:rsid w:val="00580B9A"/>
    <w:rsid w:val="00580D94"/>
    <w:rsid w:val="00582BF7"/>
    <w:rsid w:val="00586E06"/>
    <w:rsid w:val="00587024"/>
    <w:rsid w:val="00590D81"/>
    <w:rsid w:val="00591FA8"/>
    <w:rsid w:val="00593ABA"/>
    <w:rsid w:val="00596ADE"/>
    <w:rsid w:val="00597680"/>
    <w:rsid w:val="005A10B1"/>
    <w:rsid w:val="005A2D3C"/>
    <w:rsid w:val="005A7311"/>
    <w:rsid w:val="005A7EFE"/>
    <w:rsid w:val="005B335D"/>
    <w:rsid w:val="005B6BF7"/>
    <w:rsid w:val="005C3277"/>
    <w:rsid w:val="005C537F"/>
    <w:rsid w:val="005C53B3"/>
    <w:rsid w:val="005C6968"/>
    <w:rsid w:val="005C7AFC"/>
    <w:rsid w:val="005D0418"/>
    <w:rsid w:val="005D13E1"/>
    <w:rsid w:val="005D25DE"/>
    <w:rsid w:val="005D31F7"/>
    <w:rsid w:val="005D5AF0"/>
    <w:rsid w:val="005E19B2"/>
    <w:rsid w:val="005E20B2"/>
    <w:rsid w:val="005E3DCF"/>
    <w:rsid w:val="005E44A1"/>
    <w:rsid w:val="005E47F8"/>
    <w:rsid w:val="005E5147"/>
    <w:rsid w:val="005E5D27"/>
    <w:rsid w:val="005F111F"/>
    <w:rsid w:val="005F2329"/>
    <w:rsid w:val="005F2676"/>
    <w:rsid w:val="005F2DA8"/>
    <w:rsid w:val="005F2E51"/>
    <w:rsid w:val="005F33AD"/>
    <w:rsid w:val="005F4792"/>
    <w:rsid w:val="005F4974"/>
    <w:rsid w:val="00602145"/>
    <w:rsid w:val="00602376"/>
    <w:rsid w:val="0060351C"/>
    <w:rsid w:val="006056D1"/>
    <w:rsid w:val="00606BC1"/>
    <w:rsid w:val="006108A7"/>
    <w:rsid w:val="00610F4C"/>
    <w:rsid w:val="00613D78"/>
    <w:rsid w:val="00614AB4"/>
    <w:rsid w:val="0061622B"/>
    <w:rsid w:val="00616429"/>
    <w:rsid w:val="006202C0"/>
    <w:rsid w:val="006205BE"/>
    <w:rsid w:val="00620ACB"/>
    <w:rsid w:val="00620F4E"/>
    <w:rsid w:val="00621155"/>
    <w:rsid w:val="006234DD"/>
    <w:rsid w:val="0062575E"/>
    <w:rsid w:val="0062605D"/>
    <w:rsid w:val="00626B58"/>
    <w:rsid w:val="00630359"/>
    <w:rsid w:val="00632BEA"/>
    <w:rsid w:val="00632EB4"/>
    <w:rsid w:val="0063415E"/>
    <w:rsid w:val="00634DFF"/>
    <w:rsid w:val="006405B6"/>
    <w:rsid w:val="00640E25"/>
    <w:rsid w:val="00641F37"/>
    <w:rsid w:val="00642AF1"/>
    <w:rsid w:val="00643AEE"/>
    <w:rsid w:val="00643D4C"/>
    <w:rsid w:val="006443FF"/>
    <w:rsid w:val="00646E73"/>
    <w:rsid w:val="00650479"/>
    <w:rsid w:val="006506F8"/>
    <w:rsid w:val="006519A2"/>
    <w:rsid w:val="00655D12"/>
    <w:rsid w:val="00656887"/>
    <w:rsid w:val="006569CD"/>
    <w:rsid w:val="00660493"/>
    <w:rsid w:val="00661833"/>
    <w:rsid w:val="00662FF4"/>
    <w:rsid w:val="0066457B"/>
    <w:rsid w:val="00664647"/>
    <w:rsid w:val="00665796"/>
    <w:rsid w:val="006661AB"/>
    <w:rsid w:val="00666439"/>
    <w:rsid w:val="006667C2"/>
    <w:rsid w:val="0066729B"/>
    <w:rsid w:val="00675F77"/>
    <w:rsid w:val="0067778C"/>
    <w:rsid w:val="00681998"/>
    <w:rsid w:val="00681E91"/>
    <w:rsid w:val="00682671"/>
    <w:rsid w:val="0068481A"/>
    <w:rsid w:val="00686DAB"/>
    <w:rsid w:val="00690101"/>
    <w:rsid w:val="0069104E"/>
    <w:rsid w:val="0069199D"/>
    <w:rsid w:val="00691C73"/>
    <w:rsid w:val="00692442"/>
    <w:rsid w:val="00693F2D"/>
    <w:rsid w:val="006940D4"/>
    <w:rsid w:val="0069547B"/>
    <w:rsid w:val="0069630A"/>
    <w:rsid w:val="006A0B0B"/>
    <w:rsid w:val="006A1FA4"/>
    <w:rsid w:val="006A72E5"/>
    <w:rsid w:val="006B02C1"/>
    <w:rsid w:val="006B077F"/>
    <w:rsid w:val="006B117F"/>
    <w:rsid w:val="006B118E"/>
    <w:rsid w:val="006B264B"/>
    <w:rsid w:val="006B3A96"/>
    <w:rsid w:val="006B3C37"/>
    <w:rsid w:val="006C12E6"/>
    <w:rsid w:val="006C45AF"/>
    <w:rsid w:val="006C4905"/>
    <w:rsid w:val="006C49C9"/>
    <w:rsid w:val="006C5C8F"/>
    <w:rsid w:val="006C6596"/>
    <w:rsid w:val="006C6602"/>
    <w:rsid w:val="006C6FC4"/>
    <w:rsid w:val="006C7D70"/>
    <w:rsid w:val="006D06D0"/>
    <w:rsid w:val="006D212E"/>
    <w:rsid w:val="006D28ED"/>
    <w:rsid w:val="006D3B6D"/>
    <w:rsid w:val="006D42A7"/>
    <w:rsid w:val="006D4D50"/>
    <w:rsid w:val="006D5C8A"/>
    <w:rsid w:val="006D72F7"/>
    <w:rsid w:val="006D7DA5"/>
    <w:rsid w:val="006D7E6A"/>
    <w:rsid w:val="006E3D99"/>
    <w:rsid w:val="006E474C"/>
    <w:rsid w:val="006E5426"/>
    <w:rsid w:val="006E6210"/>
    <w:rsid w:val="006F0197"/>
    <w:rsid w:val="006F09BE"/>
    <w:rsid w:val="006F19B4"/>
    <w:rsid w:val="006F575C"/>
    <w:rsid w:val="006F65B6"/>
    <w:rsid w:val="006F6B3B"/>
    <w:rsid w:val="00700126"/>
    <w:rsid w:val="007010AA"/>
    <w:rsid w:val="00702486"/>
    <w:rsid w:val="00703DFC"/>
    <w:rsid w:val="007046F3"/>
    <w:rsid w:val="0070592A"/>
    <w:rsid w:val="0070599D"/>
    <w:rsid w:val="0070653C"/>
    <w:rsid w:val="00707190"/>
    <w:rsid w:val="007077BA"/>
    <w:rsid w:val="00710A58"/>
    <w:rsid w:val="0071441B"/>
    <w:rsid w:val="00715E7A"/>
    <w:rsid w:val="00716E8C"/>
    <w:rsid w:val="00720283"/>
    <w:rsid w:val="00720A15"/>
    <w:rsid w:val="007278B8"/>
    <w:rsid w:val="0073047C"/>
    <w:rsid w:val="007309D3"/>
    <w:rsid w:val="00733BB9"/>
    <w:rsid w:val="00733F8C"/>
    <w:rsid w:val="00737395"/>
    <w:rsid w:val="00742087"/>
    <w:rsid w:val="007421FA"/>
    <w:rsid w:val="007431B2"/>
    <w:rsid w:val="007442ED"/>
    <w:rsid w:val="00746AE6"/>
    <w:rsid w:val="00747139"/>
    <w:rsid w:val="007522F9"/>
    <w:rsid w:val="00754541"/>
    <w:rsid w:val="007615D8"/>
    <w:rsid w:val="007647E4"/>
    <w:rsid w:val="0076550A"/>
    <w:rsid w:val="00765BF5"/>
    <w:rsid w:val="00766002"/>
    <w:rsid w:val="007666A5"/>
    <w:rsid w:val="00766E71"/>
    <w:rsid w:val="00770204"/>
    <w:rsid w:val="00770645"/>
    <w:rsid w:val="00771EB0"/>
    <w:rsid w:val="00780190"/>
    <w:rsid w:val="00781219"/>
    <w:rsid w:val="00781EFA"/>
    <w:rsid w:val="00783C2E"/>
    <w:rsid w:val="00784A24"/>
    <w:rsid w:val="00784C1B"/>
    <w:rsid w:val="00787B20"/>
    <w:rsid w:val="00790E69"/>
    <w:rsid w:val="007942B4"/>
    <w:rsid w:val="00795678"/>
    <w:rsid w:val="00796CA4"/>
    <w:rsid w:val="007A133C"/>
    <w:rsid w:val="007A24B7"/>
    <w:rsid w:val="007A2DEB"/>
    <w:rsid w:val="007A4236"/>
    <w:rsid w:val="007A432B"/>
    <w:rsid w:val="007A5B9B"/>
    <w:rsid w:val="007A5C10"/>
    <w:rsid w:val="007A6E7B"/>
    <w:rsid w:val="007A73B4"/>
    <w:rsid w:val="007A75CE"/>
    <w:rsid w:val="007B19CC"/>
    <w:rsid w:val="007B2A21"/>
    <w:rsid w:val="007B376F"/>
    <w:rsid w:val="007B3FC8"/>
    <w:rsid w:val="007B4631"/>
    <w:rsid w:val="007B6623"/>
    <w:rsid w:val="007B7B33"/>
    <w:rsid w:val="007C13FE"/>
    <w:rsid w:val="007C5CF8"/>
    <w:rsid w:val="007C681E"/>
    <w:rsid w:val="007C7EC8"/>
    <w:rsid w:val="007D2AE8"/>
    <w:rsid w:val="007D2EA0"/>
    <w:rsid w:val="007E12A2"/>
    <w:rsid w:val="007E49F5"/>
    <w:rsid w:val="007E558C"/>
    <w:rsid w:val="007E578F"/>
    <w:rsid w:val="007E5ED6"/>
    <w:rsid w:val="007F51FA"/>
    <w:rsid w:val="007F5943"/>
    <w:rsid w:val="007F6246"/>
    <w:rsid w:val="007F7CBA"/>
    <w:rsid w:val="0080087B"/>
    <w:rsid w:val="008019E9"/>
    <w:rsid w:val="008043F3"/>
    <w:rsid w:val="0080614B"/>
    <w:rsid w:val="00806624"/>
    <w:rsid w:val="008110D5"/>
    <w:rsid w:val="008126D2"/>
    <w:rsid w:val="00814E4A"/>
    <w:rsid w:val="0081521A"/>
    <w:rsid w:val="00817315"/>
    <w:rsid w:val="00817550"/>
    <w:rsid w:val="0082384C"/>
    <w:rsid w:val="00823DC7"/>
    <w:rsid w:val="00826459"/>
    <w:rsid w:val="00830626"/>
    <w:rsid w:val="00832C33"/>
    <w:rsid w:val="008331F0"/>
    <w:rsid w:val="00835333"/>
    <w:rsid w:val="00835ED4"/>
    <w:rsid w:val="0083615A"/>
    <w:rsid w:val="0083624A"/>
    <w:rsid w:val="00852D62"/>
    <w:rsid w:val="00855C99"/>
    <w:rsid w:val="008569B0"/>
    <w:rsid w:val="00857271"/>
    <w:rsid w:val="00857585"/>
    <w:rsid w:val="0085799A"/>
    <w:rsid w:val="00860A9A"/>
    <w:rsid w:val="00861520"/>
    <w:rsid w:val="00863139"/>
    <w:rsid w:val="00867334"/>
    <w:rsid w:val="008713CF"/>
    <w:rsid w:val="008730C9"/>
    <w:rsid w:val="00873972"/>
    <w:rsid w:val="00874665"/>
    <w:rsid w:val="00875CA8"/>
    <w:rsid w:val="0088042F"/>
    <w:rsid w:val="00880B9E"/>
    <w:rsid w:val="00882B57"/>
    <w:rsid w:val="00882C72"/>
    <w:rsid w:val="00883828"/>
    <w:rsid w:val="00883BD6"/>
    <w:rsid w:val="00885F1C"/>
    <w:rsid w:val="008871CC"/>
    <w:rsid w:val="00887400"/>
    <w:rsid w:val="008878B0"/>
    <w:rsid w:val="00890AC4"/>
    <w:rsid w:val="00890FFD"/>
    <w:rsid w:val="0089384C"/>
    <w:rsid w:val="0089644D"/>
    <w:rsid w:val="00897854"/>
    <w:rsid w:val="00897DA9"/>
    <w:rsid w:val="008A095F"/>
    <w:rsid w:val="008A263B"/>
    <w:rsid w:val="008A5C5C"/>
    <w:rsid w:val="008A6D46"/>
    <w:rsid w:val="008A74F6"/>
    <w:rsid w:val="008B50AC"/>
    <w:rsid w:val="008B6A07"/>
    <w:rsid w:val="008C2401"/>
    <w:rsid w:val="008C2EE1"/>
    <w:rsid w:val="008C3868"/>
    <w:rsid w:val="008C5467"/>
    <w:rsid w:val="008C7D14"/>
    <w:rsid w:val="008D1343"/>
    <w:rsid w:val="008D15FC"/>
    <w:rsid w:val="008D300B"/>
    <w:rsid w:val="008D5569"/>
    <w:rsid w:val="008D77E1"/>
    <w:rsid w:val="008E11DE"/>
    <w:rsid w:val="008E21DE"/>
    <w:rsid w:val="008E4D60"/>
    <w:rsid w:val="008E5D9A"/>
    <w:rsid w:val="008E618D"/>
    <w:rsid w:val="008F36AA"/>
    <w:rsid w:val="008F39D9"/>
    <w:rsid w:val="008F4F34"/>
    <w:rsid w:val="008F54E2"/>
    <w:rsid w:val="008F671A"/>
    <w:rsid w:val="008F7017"/>
    <w:rsid w:val="009005D4"/>
    <w:rsid w:val="00900CB3"/>
    <w:rsid w:val="00901D04"/>
    <w:rsid w:val="0090565B"/>
    <w:rsid w:val="00906A14"/>
    <w:rsid w:val="00907707"/>
    <w:rsid w:val="00907A75"/>
    <w:rsid w:val="00913E05"/>
    <w:rsid w:val="00914F6E"/>
    <w:rsid w:val="009208F0"/>
    <w:rsid w:val="009213E9"/>
    <w:rsid w:val="00921412"/>
    <w:rsid w:val="00921434"/>
    <w:rsid w:val="009222A3"/>
    <w:rsid w:val="0092257A"/>
    <w:rsid w:val="00924021"/>
    <w:rsid w:val="00924DE1"/>
    <w:rsid w:val="009257B2"/>
    <w:rsid w:val="00925823"/>
    <w:rsid w:val="00925A4A"/>
    <w:rsid w:val="0093060D"/>
    <w:rsid w:val="00931C98"/>
    <w:rsid w:val="00931D82"/>
    <w:rsid w:val="00932E14"/>
    <w:rsid w:val="009331E5"/>
    <w:rsid w:val="009343CE"/>
    <w:rsid w:val="00935E8F"/>
    <w:rsid w:val="0093612B"/>
    <w:rsid w:val="00936451"/>
    <w:rsid w:val="00937FFC"/>
    <w:rsid w:val="00943382"/>
    <w:rsid w:val="00943C18"/>
    <w:rsid w:val="0094513F"/>
    <w:rsid w:val="00945585"/>
    <w:rsid w:val="009457F8"/>
    <w:rsid w:val="009478E8"/>
    <w:rsid w:val="00951257"/>
    <w:rsid w:val="00952D52"/>
    <w:rsid w:val="00956B77"/>
    <w:rsid w:val="00957D3C"/>
    <w:rsid w:val="00960679"/>
    <w:rsid w:val="00960A8D"/>
    <w:rsid w:val="009628EA"/>
    <w:rsid w:val="00962DF2"/>
    <w:rsid w:val="00963522"/>
    <w:rsid w:val="00963AD7"/>
    <w:rsid w:val="00964D86"/>
    <w:rsid w:val="00965DF9"/>
    <w:rsid w:val="00971D95"/>
    <w:rsid w:val="009723A9"/>
    <w:rsid w:val="009732F3"/>
    <w:rsid w:val="0097452A"/>
    <w:rsid w:val="00975554"/>
    <w:rsid w:val="009763B1"/>
    <w:rsid w:val="00980D81"/>
    <w:rsid w:val="00981DC4"/>
    <w:rsid w:val="0098385D"/>
    <w:rsid w:val="0098510A"/>
    <w:rsid w:val="009854A9"/>
    <w:rsid w:val="009855D0"/>
    <w:rsid w:val="009861FC"/>
    <w:rsid w:val="009866FA"/>
    <w:rsid w:val="00987AEF"/>
    <w:rsid w:val="00990168"/>
    <w:rsid w:val="00990539"/>
    <w:rsid w:val="0099171C"/>
    <w:rsid w:val="00995736"/>
    <w:rsid w:val="00995D66"/>
    <w:rsid w:val="00995F60"/>
    <w:rsid w:val="00996DA9"/>
    <w:rsid w:val="009A045C"/>
    <w:rsid w:val="009A1F1F"/>
    <w:rsid w:val="009A44FE"/>
    <w:rsid w:val="009A4921"/>
    <w:rsid w:val="009A5DE8"/>
    <w:rsid w:val="009B077D"/>
    <w:rsid w:val="009B0A9A"/>
    <w:rsid w:val="009B3206"/>
    <w:rsid w:val="009B3370"/>
    <w:rsid w:val="009B34EA"/>
    <w:rsid w:val="009B3D1E"/>
    <w:rsid w:val="009B41EA"/>
    <w:rsid w:val="009B4465"/>
    <w:rsid w:val="009B6ABF"/>
    <w:rsid w:val="009B7746"/>
    <w:rsid w:val="009C0B9A"/>
    <w:rsid w:val="009C11CC"/>
    <w:rsid w:val="009C38EB"/>
    <w:rsid w:val="009C3DF3"/>
    <w:rsid w:val="009C4E58"/>
    <w:rsid w:val="009C7BB9"/>
    <w:rsid w:val="009C7FC1"/>
    <w:rsid w:val="009D1A10"/>
    <w:rsid w:val="009D2FEF"/>
    <w:rsid w:val="009D3D6F"/>
    <w:rsid w:val="009D4D68"/>
    <w:rsid w:val="009D4F70"/>
    <w:rsid w:val="009D59D3"/>
    <w:rsid w:val="009D61C4"/>
    <w:rsid w:val="009E05B3"/>
    <w:rsid w:val="009E1014"/>
    <w:rsid w:val="009E17D9"/>
    <w:rsid w:val="009E1A7F"/>
    <w:rsid w:val="009E2C85"/>
    <w:rsid w:val="009E2E7E"/>
    <w:rsid w:val="009E2EAA"/>
    <w:rsid w:val="009E32F9"/>
    <w:rsid w:val="009E3D48"/>
    <w:rsid w:val="009E4FEF"/>
    <w:rsid w:val="009E5AC7"/>
    <w:rsid w:val="009E5BDB"/>
    <w:rsid w:val="009E6D7C"/>
    <w:rsid w:val="009E7327"/>
    <w:rsid w:val="009E7770"/>
    <w:rsid w:val="009E7A19"/>
    <w:rsid w:val="009F001F"/>
    <w:rsid w:val="009F2F39"/>
    <w:rsid w:val="009F32C3"/>
    <w:rsid w:val="009F3DD9"/>
    <w:rsid w:val="009F4900"/>
    <w:rsid w:val="009F5879"/>
    <w:rsid w:val="009F5C10"/>
    <w:rsid w:val="009F60B7"/>
    <w:rsid w:val="009F7145"/>
    <w:rsid w:val="009F7DB7"/>
    <w:rsid w:val="00A01216"/>
    <w:rsid w:val="00A01C67"/>
    <w:rsid w:val="00A02018"/>
    <w:rsid w:val="00A07537"/>
    <w:rsid w:val="00A07B48"/>
    <w:rsid w:val="00A111AD"/>
    <w:rsid w:val="00A11640"/>
    <w:rsid w:val="00A13C78"/>
    <w:rsid w:val="00A141A3"/>
    <w:rsid w:val="00A160B7"/>
    <w:rsid w:val="00A16C6E"/>
    <w:rsid w:val="00A215DA"/>
    <w:rsid w:val="00A216F1"/>
    <w:rsid w:val="00A2238C"/>
    <w:rsid w:val="00A22842"/>
    <w:rsid w:val="00A25330"/>
    <w:rsid w:val="00A25621"/>
    <w:rsid w:val="00A279BF"/>
    <w:rsid w:val="00A3280F"/>
    <w:rsid w:val="00A3669B"/>
    <w:rsid w:val="00A37360"/>
    <w:rsid w:val="00A37772"/>
    <w:rsid w:val="00A40138"/>
    <w:rsid w:val="00A40675"/>
    <w:rsid w:val="00A41680"/>
    <w:rsid w:val="00A41A2D"/>
    <w:rsid w:val="00A428D1"/>
    <w:rsid w:val="00A46814"/>
    <w:rsid w:val="00A500B3"/>
    <w:rsid w:val="00A51580"/>
    <w:rsid w:val="00A516EE"/>
    <w:rsid w:val="00A518A9"/>
    <w:rsid w:val="00A525C3"/>
    <w:rsid w:val="00A5317D"/>
    <w:rsid w:val="00A60D59"/>
    <w:rsid w:val="00A61C65"/>
    <w:rsid w:val="00A61CEA"/>
    <w:rsid w:val="00A63C77"/>
    <w:rsid w:val="00A647F8"/>
    <w:rsid w:val="00A650D8"/>
    <w:rsid w:val="00A660B4"/>
    <w:rsid w:val="00A67E20"/>
    <w:rsid w:val="00A67EAD"/>
    <w:rsid w:val="00A67EEC"/>
    <w:rsid w:val="00A70779"/>
    <w:rsid w:val="00A73219"/>
    <w:rsid w:val="00A750DC"/>
    <w:rsid w:val="00A7534B"/>
    <w:rsid w:val="00A76DED"/>
    <w:rsid w:val="00A80165"/>
    <w:rsid w:val="00A81738"/>
    <w:rsid w:val="00A82061"/>
    <w:rsid w:val="00A835EE"/>
    <w:rsid w:val="00A83891"/>
    <w:rsid w:val="00A87648"/>
    <w:rsid w:val="00A9079D"/>
    <w:rsid w:val="00A94151"/>
    <w:rsid w:val="00A95047"/>
    <w:rsid w:val="00A95FB8"/>
    <w:rsid w:val="00AA1966"/>
    <w:rsid w:val="00AA1A3C"/>
    <w:rsid w:val="00AA2AB2"/>
    <w:rsid w:val="00AA5411"/>
    <w:rsid w:val="00AA7560"/>
    <w:rsid w:val="00AA7A3D"/>
    <w:rsid w:val="00AB0157"/>
    <w:rsid w:val="00AB07DE"/>
    <w:rsid w:val="00AB27CC"/>
    <w:rsid w:val="00AB4110"/>
    <w:rsid w:val="00AB640F"/>
    <w:rsid w:val="00AB7BEE"/>
    <w:rsid w:val="00AC2C1A"/>
    <w:rsid w:val="00AC76A5"/>
    <w:rsid w:val="00AD08E6"/>
    <w:rsid w:val="00AD59B5"/>
    <w:rsid w:val="00AD5EC5"/>
    <w:rsid w:val="00AD7421"/>
    <w:rsid w:val="00AD7BF1"/>
    <w:rsid w:val="00AE4A62"/>
    <w:rsid w:val="00AE6130"/>
    <w:rsid w:val="00AE701B"/>
    <w:rsid w:val="00AE7D58"/>
    <w:rsid w:val="00AF0515"/>
    <w:rsid w:val="00AF0E8C"/>
    <w:rsid w:val="00AF184C"/>
    <w:rsid w:val="00AF267B"/>
    <w:rsid w:val="00AF5BDE"/>
    <w:rsid w:val="00AF7741"/>
    <w:rsid w:val="00B0138B"/>
    <w:rsid w:val="00B01B6B"/>
    <w:rsid w:val="00B020B8"/>
    <w:rsid w:val="00B02350"/>
    <w:rsid w:val="00B04AAF"/>
    <w:rsid w:val="00B04CEF"/>
    <w:rsid w:val="00B06B1D"/>
    <w:rsid w:val="00B147EC"/>
    <w:rsid w:val="00B176DD"/>
    <w:rsid w:val="00B20423"/>
    <w:rsid w:val="00B25704"/>
    <w:rsid w:val="00B27D69"/>
    <w:rsid w:val="00B33BFE"/>
    <w:rsid w:val="00B36B6E"/>
    <w:rsid w:val="00B36B7E"/>
    <w:rsid w:val="00B378AF"/>
    <w:rsid w:val="00B41CB3"/>
    <w:rsid w:val="00B421C7"/>
    <w:rsid w:val="00B43E5F"/>
    <w:rsid w:val="00B4412E"/>
    <w:rsid w:val="00B4467E"/>
    <w:rsid w:val="00B44770"/>
    <w:rsid w:val="00B4482F"/>
    <w:rsid w:val="00B44E51"/>
    <w:rsid w:val="00B458C0"/>
    <w:rsid w:val="00B46924"/>
    <w:rsid w:val="00B47ED7"/>
    <w:rsid w:val="00B52BB3"/>
    <w:rsid w:val="00B5343B"/>
    <w:rsid w:val="00B56723"/>
    <w:rsid w:val="00B576EF"/>
    <w:rsid w:val="00B61D08"/>
    <w:rsid w:val="00B62F09"/>
    <w:rsid w:val="00B63A70"/>
    <w:rsid w:val="00B64371"/>
    <w:rsid w:val="00B65818"/>
    <w:rsid w:val="00B66CC6"/>
    <w:rsid w:val="00B71B75"/>
    <w:rsid w:val="00B71E77"/>
    <w:rsid w:val="00B74B6A"/>
    <w:rsid w:val="00B74D27"/>
    <w:rsid w:val="00B74E51"/>
    <w:rsid w:val="00B75014"/>
    <w:rsid w:val="00B75953"/>
    <w:rsid w:val="00B76D8D"/>
    <w:rsid w:val="00B81A82"/>
    <w:rsid w:val="00B83104"/>
    <w:rsid w:val="00B83776"/>
    <w:rsid w:val="00B8669C"/>
    <w:rsid w:val="00B9112F"/>
    <w:rsid w:val="00B920D0"/>
    <w:rsid w:val="00B933C5"/>
    <w:rsid w:val="00B93AAB"/>
    <w:rsid w:val="00B94955"/>
    <w:rsid w:val="00B9595B"/>
    <w:rsid w:val="00B969DE"/>
    <w:rsid w:val="00B96C07"/>
    <w:rsid w:val="00B96C6A"/>
    <w:rsid w:val="00B9731C"/>
    <w:rsid w:val="00B9756D"/>
    <w:rsid w:val="00BA3A56"/>
    <w:rsid w:val="00BA4F73"/>
    <w:rsid w:val="00BA5CF7"/>
    <w:rsid w:val="00BA6542"/>
    <w:rsid w:val="00BB0C96"/>
    <w:rsid w:val="00BB1369"/>
    <w:rsid w:val="00BB14B6"/>
    <w:rsid w:val="00BB21DD"/>
    <w:rsid w:val="00BB2EDB"/>
    <w:rsid w:val="00BB5927"/>
    <w:rsid w:val="00BC0C2F"/>
    <w:rsid w:val="00BC19AE"/>
    <w:rsid w:val="00BC6C0D"/>
    <w:rsid w:val="00BC73AA"/>
    <w:rsid w:val="00BD0D46"/>
    <w:rsid w:val="00BD1A4C"/>
    <w:rsid w:val="00BD25B7"/>
    <w:rsid w:val="00BD2AC2"/>
    <w:rsid w:val="00BD449E"/>
    <w:rsid w:val="00BD4BD6"/>
    <w:rsid w:val="00BD5F0A"/>
    <w:rsid w:val="00BD6AA9"/>
    <w:rsid w:val="00BD7D67"/>
    <w:rsid w:val="00BE06AD"/>
    <w:rsid w:val="00BE455C"/>
    <w:rsid w:val="00BE5BD8"/>
    <w:rsid w:val="00BE5D5C"/>
    <w:rsid w:val="00BE75C4"/>
    <w:rsid w:val="00BF158F"/>
    <w:rsid w:val="00BF47B4"/>
    <w:rsid w:val="00BF5C4B"/>
    <w:rsid w:val="00BF6A63"/>
    <w:rsid w:val="00BF7D65"/>
    <w:rsid w:val="00BF7F21"/>
    <w:rsid w:val="00C00CE9"/>
    <w:rsid w:val="00C01E5F"/>
    <w:rsid w:val="00C02D91"/>
    <w:rsid w:val="00C037EF"/>
    <w:rsid w:val="00C039DA"/>
    <w:rsid w:val="00C06175"/>
    <w:rsid w:val="00C06BAC"/>
    <w:rsid w:val="00C0768E"/>
    <w:rsid w:val="00C12A75"/>
    <w:rsid w:val="00C13766"/>
    <w:rsid w:val="00C144FD"/>
    <w:rsid w:val="00C16EF2"/>
    <w:rsid w:val="00C17C43"/>
    <w:rsid w:val="00C20203"/>
    <w:rsid w:val="00C20256"/>
    <w:rsid w:val="00C24333"/>
    <w:rsid w:val="00C24567"/>
    <w:rsid w:val="00C24AD2"/>
    <w:rsid w:val="00C24DA0"/>
    <w:rsid w:val="00C252D5"/>
    <w:rsid w:val="00C254EC"/>
    <w:rsid w:val="00C27882"/>
    <w:rsid w:val="00C30C59"/>
    <w:rsid w:val="00C33A26"/>
    <w:rsid w:val="00C34F4E"/>
    <w:rsid w:val="00C353FC"/>
    <w:rsid w:val="00C35804"/>
    <w:rsid w:val="00C368EB"/>
    <w:rsid w:val="00C4125B"/>
    <w:rsid w:val="00C44680"/>
    <w:rsid w:val="00C44694"/>
    <w:rsid w:val="00C547A9"/>
    <w:rsid w:val="00C575F7"/>
    <w:rsid w:val="00C608C9"/>
    <w:rsid w:val="00C61ACE"/>
    <w:rsid w:val="00C62003"/>
    <w:rsid w:val="00C64B16"/>
    <w:rsid w:val="00C7172D"/>
    <w:rsid w:val="00C7265A"/>
    <w:rsid w:val="00C72AAC"/>
    <w:rsid w:val="00C73B33"/>
    <w:rsid w:val="00C73CD6"/>
    <w:rsid w:val="00C740F5"/>
    <w:rsid w:val="00C746CB"/>
    <w:rsid w:val="00C74ADC"/>
    <w:rsid w:val="00C76ABD"/>
    <w:rsid w:val="00C773D1"/>
    <w:rsid w:val="00C8136F"/>
    <w:rsid w:val="00C81B59"/>
    <w:rsid w:val="00C83A64"/>
    <w:rsid w:val="00C83B04"/>
    <w:rsid w:val="00C85BD5"/>
    <w:rsid w:val="00C85E8F"/>
    <w:rsid w:val="00C85F12"/>
    <w:rsid w:val="00C9079C"/>
    <w:rsid w:val="00C9243D"/>
    <w:rsid w:val="00C94FE6"/>
    <w:rsid w:val="00C951FB"/>
    <w:rsid w:val="00C95A6F"/>
    <w:rsid w:val="00C96BDF"/>
    <w:rsid w:val="00C96C93"/>
    <w:rsid w:val="00C97AC5"/>
    <w:rsid w:val="00CA1C25"/>
    <w:rsid w:val="00CA2DD3"/>
    <w:rsid w:val="00CA32BE"/>
    <w:rsid w:val="00CA4EC6"/>
    <w:rsid w:val="00CA5927"/>
    <w:rsid w:val="00CB005B"/>
    <w:rsid w:val="00CB2E37"/>
    <w:rsid w:val="00CB3329"/>
    <w:rsid w:val="00CB5599"/>
    <w:rsid w:val="00CB5E96"/>
    <w:rsid w:val="00CB6D3D"/>
    <w:rsid w:val="00CB7262"/>
    <w:rsid w:val="00CB779B"/>
    <w:rsid w:val="00CC3027"/>
    <w:rsid w:val="00CC6398"/>
    <w:rsid w:val="00CD096B"/>
    <w:rsid w:val="00CD0F7C"/>
    <w:rsid w:val="00CD1218"/>
    <w:rsid w:val="00CD42A7"/>
    <w:rsid w:val="00CD4893"/>
    <w:rsid w:val="00CE0761"/>
    <w:rsid w:val="00CE0F85"/>
    <w:rsid w:val="00CE3B73"/>
    <w:rsid w:val="00CE58DE"/>
    <w:rsid w:val="00CE6E31"/>
    <w:rsid w:val="00CE717A"/>
    <w:rsid w:val="00CE7B8B"/>
    <w:rsid w:val="00CE7D20"/>
    <w:rsid w:val="00CF025C"/>
    <w:rsid w:val="00CF0DC6"/>
    <w:rsid w:val="00CF2484"/>
    <w:rsid w:val="00CF2F0D"/>
    <w:rsid w:val="00CF4B48"/>
    <w:rsid w:val="00CF7220"/>
    <w:rsid w:val="00D012C7"/>
    <w:rsid w:val="00D03808"/>
    <w:rsid w:val="00D03DF9"/>
    <w:rsid w:val="00D0519E"/>
    <w:rsid w:val="00D05B51"/>
    <w:rsid w:val="00D06EEA"/>
    <w:rsid w:val="00D07F51"/>
    <w:rsid w:val="00D1189A"/>
    <w:rsid w:val="00D118AE"/>
    <w:rsid w:val="00D11FDB"/>
    <w:rsid w:val="00D12CA1"/>
    <w:rsid w:val="00D146FB"/>
    <w:rsid w:val="00D15DF4"/>
    <w:rsid w:val="00D171FE"/>
    <w:rsid w:val="00D1763E"/>
    <w:rsid w:val="00D17723"/>
    <w:rsid w:val="00D17DB5"/>
    <w:rsid w:val="00D214D6"/>
    <w:rsid w:val="00D2162E"/>
    <w:rsid w:val="00D23D77"/>
    <w:rsid w:val="00D23F45"/>
    <w:rsid w:val="00D23F95"/>
    <w:rsid w:val="00D249EF"/>
    <w:rsid w:val="00D30676"/>
    <w:rsid w:val="00D310D6"/>
    <w:rsid w:val="00D31859"/>
    <w:rsid w:val="00D34746"/>
    <w:rsid w:val="00D37EB3"/>
    <w:rsid w:val="00D4262F"/>
    <w:rsid w:val="00D43BAF"/>
    <w:rsid w:val="00D45576"/>
    <w:rsid w:val="00D46302"/>
    <w:rsid w:val="00D46A8D"/>
    <w:rsid w:val="00D46E0D"/>
    <w:rsid w:val="00D517D1"/>
    <w:rsid w:val="00D528FF"/>
    <w:rsid w:val="00D55710"/>
    <w:rsid w:val="00D6044C"/>
    <w:rsid w:val="00D62AC1"/>
    <w:rsid w:val="00D62ED4"/>
    <w:rsid w:val="00D6335A"/>
    <w:rsid w:val="00D71EE4"/>
    <w:rsid w:val="00D75334"/>
    <w:rsid w:val="00D77F94"/>
    <w:rsid w:val="00D807E9"/>
    <w:rsid w:val="00D82D5E"/>
    <w:rsid w:val="00D8397C"/>
    <w:rsid w:val="00D84433"/>
    <w:rsid w:val="00D87357"/>
    <w:rsid w:val="00D91295"/>
    <w:rsid w:val="00D91679"/>
    <w:rsid w:val="00D92DE8"/>
    <w:rsid w:val="00D9392B"/>
    <w:rsid w:val="00D9394A"/>
    <w:rsid w:val="00D949A4"/>
    <w:rsid w:val="00DA0743"/>
    <w:rsid w:val="00DA1FB0"/>
    <w:rsid w:val="00DA365B"/>
    <w:rsid w:val="00DA5273"/>
    <w:rsid w:val="00DA6E0F"/>
    <w:rsid w:val="00DB1A7F"/>
    <w:rsid w:val="00DB4EF2"/>
    <w:rsid w:val="00DC0E5E"/>
    <w:rsid w:val="00DC6094"/>
    <w:rsid w:val="00DC6843"/>
    <w:rsid w:val="00DC7C15"/>
    <w:rsid w:val="00DC7CDE"/>
    <w:rsid w:val="00DC7E6E"/>
    <w:rsid w:val="00DD1960"/>
    <w:rsid w:val="00DD2074"/>
    <w:rsid w:val="00DD34CB"/>
    <w:rsid w:val="00DD41D4"/>
    <w:rsid w:val="00DD4C92"/>
    <w:rsid w:val="00DD6E1B"/>
    <w:rsid w:val="00DE0A8F"/>
    <w:rsid w:val="00DE132E"/>
    <w:rsid w:val="00DE198C"/>
    <w:rsid w:val="00DE25D8"/>
    <w:rsid w:val="00DE3C98"/>
    <w:rsid w:val="00DE5349"/>
    <w:rsid w:val="00DF36EC"/>
    <w:rsid w:val="00DF3B93"/>
    <w:rsid w:val="00DF5206"/>
    <w:rsid w:val="00DF63F4"/>
    <w:rsid w:val="00E0063B"/>
    <w:rsid w:val="00E00FC3"/>
    <w:rsid w:val="00E02A10"/>
    <w:rsid w:val="00E02A65"/>
    <w:rsid w:val="00E02F43"/>
    <w:rsid w:val="00E04106"/>
    <w:rsid w:val="00E1039D"/>
    <w:rsid w:val="00E11C17"/>
    <w:rsid w:val="00E11C5A"/>
    <w:rsid w:val="00E120AD"/>
    <w:rsid w:val="00E12FB0"/>
    <w:rsid w:val="00E14FA8"/>
    <w:rsid w:val="00E15EE0"/>
    <w:rsid w:val="00E162CC"/>
    <w:rsid w:val="00E215ED"/>
    <w:rsid w:val="00E23BD5"/>
    <w:rsid w:val="00E23D62"/>
    <w:rsid w:val="00E24DAC"/>
    <w:rsid w:val="00E2537D"/>
    <w:rsid w:val="00E279ED"/>
    <w:rsid w:val="00E30844"/>
    <w:rsid w:val="00E31951"/>
    <w:rsid w:val="00E3299C"/>
    <w:rsid w:val="00E36149"/>
    <w:rsid w:val="00E372C8"/>
    <w:rsid w:val="00E37BE1"/>
    <w:rsid w:val="00E37CEC"/>
    <w:rsid w:val="00E4063E"/>
    <w:rsid w:val="00E40BC3"/>
    <w:rsid w:val="00E50737"/>
    <w:rsid w:val="00E5216C"/>
    <w:rsid w:val="00E545CB"/>
    <w:rsid w:val="00E55B8B"/>
    <w:rsid w:val="00E619ED"/>
    <w:rsid w:val="00E638C5"/>
    <w:rsid w:val="00E65FC3"/>
    <w:rsid w:val="00E67461"/>
    <w:rsid w:val="00E67865"/>
    <w:rsid w:val="00E67D74"/>
    <w:rsid w:val="00E707E9"/>
    <w:rsid w:val="00E70862"/>
    <w:rsid w:val="00E71831"/>
    <w:rsid w:val="00E72AA0"/>
    <w:rsid w:val="00E7343C"/>
    <w:rsid w:val="00E76A39"/>
    <w:rsid w:val="00E77BB6"/>
    <w:rsid w:val="00E804D3"/>
    <w:rsid w:val="00E81AF9"/>
    <w:rsid w:val="00E820B8"/>
    <w:rsid w:val="00E82EB6"/>
    <w:rsid w:val="00E845F3"/>
    <w:rsid w:val="00E8488F"/>
    <w:rsid w:val="00E860CB"/>
    <w:rsid w:val="00E860E4"/>
    <w:rsid w:val="00E86A85"/>
    <w:rsid w:val="00E86C3E"/>
    <w:rsid w:val="00E87068"/>
    <w:rsid w:val="00E875F7"/>
    <w:rsid w:val="00E9136D"/>
    <w:rsid w:val="00E92A50"/>
    <w:rsid w:val="00E92D68"/>
    <w:rsid w:val="00E95534"/>
    <w:rsid w:val="00EA0355"/>
    <w:rsid w:val="00EA0FEE"/>
    <w:rsid w:val="00EA22E1"/>
    <w:rsid w:val="00EA2300"/>
    <w:rsid w:val="00EA256A"/>
    <w:rsid w:val="00EA3066"/>
    <w:rsid w:val="00EA37E9"/>
    <w:rsid w:val="00EA3C52"/>
    <w:rsid w:val="00EA596A"/>
    <w:rsid w:val="00EB43CB"/>
    <w:rsid w:val="00EB452F"/>
    <w:rsid w:val="00EB53A0"/>
    <w:rsid w:val="00EB6AFB"/>
    <w:rsid w:val="00EB6CDA"/>
    <w:rsid w:val="00EB73BF"/>
    <w:rsid w:val="00EC0835"/>
    <w:rsid w:val="00EC109E"/>
    <w:rsid w:val="00EC1270"/>
    <w:rsid w:val="00EC3F9E"/>
    <w:rsid w:val="00EC57B2"/>
    <w:rsid w:val="00EC5801"/>
    <w:rsid w:val="00EC6892"/>
    <w:rsid w:val="00EC6989"/>
    <w:rsid w:val="00EC72C8"/>
    <w:rsid w:val="00EC78A2"/>
    <w:rsid w:val="00ED1593"/>
    <w:rsid w:val="00ED2A85"/>
    <w:rsid w:val="00ED2C3C"/>
    <w:rsid w:val="00ED2EB7"/>
    <w:rsid w:val="00ED42B3"/>
    <w:rsid w:val="00ED5485"/>
    <w:rsid w:val="00ED6E49"/>
    <w:rsid w:val="00EE1371"/>
    <w:rsid w:val="00EE3850"/>
    <w:rsid w:val="00EE561B"/>
    <w:rsid w:val="00EE7650"/>
    <w:rsid w:val="00EE79B7"/>
    <w:rsid w:val="00EF1061"/>
    <w:rsid w:val="00EF2BB4"/>
    <w:rsid w:val="00EF3A5D"/>
    <w:rsid w:val="00EF4664"/>
    <w:rsid w:val="00EF5BB8"/>
    <w:rsid w:val="00EF7C31"/>
    <w:rsid w:val="00F003A5"/>
    <w:rsid w:val="00F018AF"/>
    <w:rsid w:val="00F02ECA"/>
    <w:rsid w:val="00F039A5"/>
    <w:rsid w:val="00F0426C"/>
    <w:rsid w:val="00F04A26"/>
    <w:rsid w:val="00F06156"/>
    <w:rsid w:val="00F075F5"/>
    <w:rsid w:val="00F102D6"/>
    <w:rsid w:val="00F10DF1"/>
    <w:rsid w:val="00F10F60"/>
    <w:rsid w:val="00F1119E"/>
    <w:rsid w:val="00F12ADD"/>
    <w:rsid w:val="00F13BCC"/>
    <w:rsid w:val="00F13DEF"/>
    <w:rsid w:val="00F14E61"/>
    <w:rsid w:val="00F16EBD"/>
    <w:rsid w:val="00F17535"/>
    <w:rsid w:val="00F20EFA"/>
    <w:rsid w:val="00F21F46"/>
    <w:rsid w:val="00F2219E"/>
    <w:rsid w:val="00F250F6"/>
    <w:rsid w:val="00F255C1"/>
    <w:rsid w:val="00F257EC"/>
    <w:rsid w:val="00F2698A"/>
    <w:rsid w:val="00F26F6B"/>
    <w:rsid w:val="00F30129"/>
    <w:rsid w:val="00F31C7B"/>
    <w:rsid w:val="00F37303"/>
    <w:rsid w:val="00F40C7D"/>
    <w:rsid w:val="00F41D4E"/>
    <w:rsid w:val="00F42720"/>
    <w:rsid w:val="00F42FB0"/>
    <w:rsid w:val="00F430B8"/>
    <w:rsid w:val="00F45F9C"/>
    <w:rsid w:val="00F462FB"/>
    <w:rsid w:val="00F471FA"/>
    <w:rsid w:val="00F47970"/>
    <w:rsid w:val="00F50E11"/>
    <w:rsid w:val="00F51492"/>
    <w:rsid w:val="00F57B74"/>
    <w:rsid w:val="00F62A5A"/>
    <w:rsid w:val="00F63B1A"/>
    <w:rsid w:val="00F65B30"/>
    <w:rsid w:val="00F66BE6"/>
    <w:rsid w:val="00F70677"/>
    <w:rsid w:val="00F72612"/>
    <w:rsid w:val="00F73E99"/>
    <w:rsid w:val="00F74E3B"/>
    <w:rsid w:val="00F76E41"/>
    <w:rsid w:val="00F77283"/>
    <w:rsid w:val="00F8199F"/>
    <w:rsid w:val="00F83604"/>
    <w:rsid w:val="00F853C5"/>
    <w:rsid w:val="00F86597"/>
    <w:rsid w:val="00F90E4B"/>
    <w:rsid w:val="00F92381"/>
    <w:rsid w:val="00F92751"/>
    <w:rsid w:val="00F94B0C"/>
    <w:rsid w:val="00F951DE"/>
    <w:rsid w:val="00FA127B"/>
    <w:rsid w:val="00FA448F"/>
    <w:rsid w:val="00FA5A1B"/>
    <w:rsid w:val="00FA76D4"/>
    <w:rsid w:val="00FB03F5"/>
    <w:rsid w:val="00FB1B91"/>
    <w:rsid w:val="00FB265F"/>
    <w:rsid w:val="00FB3B05"/>
    <w:rsid w:val="00FB4678"/>
    <w:rsid w:val="00FB4C32"/>
    <w:rsid w:val="00FB5188"/>
    <w:rsid w:val="00FB5A3A"/>
    <w:rsid w:val="00FB5B8C"/>
    <w:rsid w:val="00FB5CFF"/>
    <w:rsid w:val="00FC1914"/>
    <w:rsid w:val="00FC30C0"/>
    <w:rsid w:val="00FC33F3"/>
    <w:rsid w:val="00FC3EC9"/>
    <w:rsid w:val="00FC5866"/>
    <w:rsid w:val="00FC718A"/>
    <w:rsid w:val="00FC72D0"/>
    <w:rsid w:val="00FC7A61"/>
    <w:rsid w:val="00FD1739"/>
    <w:rsid w:val="00FD1912"/>
    <w:rsid w:val="00FD2386"/>
    <w:rsid w:val="00FD31C0"/>
    <w:rsid w:val="00FD4092"/>
    <w:rsid w:val="00FD657A"/>
    <w:rsid w:val="00FD674D"/>
    <w:rsid w:val="00FE29F3"/>
    <w:rsid w:val="00FE2AB4"/>
    <w:rsid w:val="00FE2CFD"/>
    <w:rsid w:val="00FE5752"/>
    <w:rsid w:val="00FE5A1D"/>
    <w:rsid w:val="00FE63AA"/>
    <w:rsid w:val="00FF07B5"/>
    <w:rsid w:val="00FF112A"/>
    <w:rsid w:val="00FF3C0F"/>
    <w:rsid w:val="00FF4A37"/>
    <w:rsid w:val="00FF598C"/>
    <w:rsid w:val="00FF5B57"/>
    <w:rsid w:val="00FF6C83"/>
    <w:rsid w:val="00FF77F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51206F2"/>
  <w15:docId w15:val="{F71F3173-7F17-401E-AAA7-E0E4ABF0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BCF"/>
  </w:style>
  <w:style w:type="paragraph" w:styleId="Ttulo1">
    <w:name w:val="heading 1"/>
    <w:basedOn w:val="Normal"/>
    <w:next w:val="Normal"/>
    <w:link w:val="Ttulo1Car"/>
    <w:uiPriority w:val="9"/>
    <w:qFormat/>
    <w:rsid w:val="009E2E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0D42D2"/>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42D2"/>
    <w:pPr>
      <w:tabs>
        <w:tab w:val="center" w:pos="4252"/>
        <w:tab w:val="right" w:pos="8504"/>
      </w:tabs>
    </w:pPr>
  </w:style>
  <w:style w:type="character" w:customStyle="1" w:styleId="EncabezadoCar">
    <w:name w:val="Encabezado Car"/>
    <w:basedOn w:val="Fuentedeprrafopredeter"/>
    <w:link w:val="Encabezado"/>
    <w:uiPriority w:val="99"/>
    <w:rsid w:val="000D42D2"/>
  </w:style>
  <w:style w:type="paragraph" w:styleId="Piedepgina">
    <w:name w:val="footer"/>
    <w:basedOn w:val="Normal"/>
    <w:link w:val="PiedepginaCar"/>
    <w:uiPriority w:val="99"/>
    <w:unhideWhenUsed/>
    <w:rsid w:val="000D42D2"/>
    <w:pPr>
      <w:tabs>
        <w:tab w:val="center" w:pos="4252"/>
        <w:tab w:val="right" w:pos="8504"/>
      </w:tabs>
    </w:pPr>
  </w:style>
  <w:style w:type="character" w:customStyle="1" w:styleId="PiedepginaCar">
    <w:name w:val="Pie de página Car"/>
    <w:basedOn w:val="Fuentedeprrafopredeter"/>
    <w:link w:val="Piedepgina"/>
    <w:uiPriority w:val="99"/>
    <w:rsid w:val="000D42D2"/>
  </w:style>
  <w:style w:type="paragraph" w:styleId="Textodeglobo">
    <w:name w:val="Balloon Text"/>
    <w:basedOn w:val="Normal"/>
    <w:link w:val="TextodegloboCar"/>
    <w:uiPriority w:val="99"/>
    <w:semiHidden/>
    <w:unhideWhenUsed/>
    <w:rsid w:val="000D42D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D42D2"/>
    <w:rPr>
      <w:rFonts w:ascii="Lucida Grande" w:hAnsi="Lucida Grande" w:cs="Lucida Grande"/>
      <w:sz w:val="18"/>
      <w:szCs w:val="18"/>
    </w:rPr>
  </w:style>
  <w:style w:type="character" w:customStyle="1" w:styleId="Ttulo2Car">
    <w:name w:val="Título 2 Car"/>
    <w:basedOn w:val="Fuentedeprrafopredeter"/>
    <w:link w:val="Ttulo2"/>
    <w:uiPriority w:val="9"/>
    <w:rsid w:val="000D42D2"/>
    <w:rPr>
      <w:rFonts w:ascii="Times" w:hAnsi="Times"/>
      <w:b/>
      <w:bCs/>
      <w:sz w:val="36"/>
      <w:szCs w:val="36"/>
    </w:rPr>
  </w:style>
  <w:style w:type="paragraph" w:styleId="NormalWeb">
    <w:name w:val="Normal (Web)"/>
    <w:aliases w:val="Normal (Web) Car Car,Normal (Web) Car Car Car,Normal (Web) Car,Normal (Web) Car Car Car Car Car Car,Normal (Web) Car Car Car Car Car Car Car Car Car"/>
    <w:basedOn w:val="Normal"/>
    <w:uiPriority w:val="99"/>
    <w:semiHidden/>
    <w:unhideWhenUsed/>
    <w:qFormat/>
    <w:rsid w:val="000D42D2"/>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0D42D2"/>
    <w:rPr>
      <w:b/>
      <w:bCs/>
    </w:rPr>
  </w:style>
  <w:style w:type="character" w:customStyle="1" w:styleId="apple-converted-space">
    <w:name w:val="apple-converted-space"/>
    <w:basedOn w:val="Fuentedeprrafopredeter"/>
    <w:rsid w:val="000D42D2"/>
  </w:style>
  <w:style w:type="paragraph" w:customStyle="1" w:styleId="Standard">
    <w:name w:val="Standard"/>
    <w:rsid w:val="001574A9"/>
    <w:pPr>
      <w:suppressAutoHyphens/>
      <w:autoSpaceDN w:val="0"/>
      <w:textAlignment w:val="baseline"/>
    </w:pPr>
    <w:rPr>
      <w:rFonts w:ascii="Times New Roman" w:eastAsia="Times New Roman" w:hAnsi="Times New Roman" w:cs="Times New Roman"/>
      <w:kern w:val="3"/>
      <w:lang w:val="es-ES" w:eastAsia="zh-CN"/>
    </w:rPr>
  </w:style>
  <w:style w:type="table" w:styleId="Tablaconcuadrcula">
    <w:name w:val="Table Grid"/>
    <w:basedOn w:val="Tablanormal"/>
    <w:uiPriority w:val="39"/>
    <w:rsid w:val="00764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51B0"/>
    <w:pPr>
      <w:ind w:left="720"/>
      <w:contextualSpacing/>
    </w:pPr>
  </w:style>
  <w:style w:type="character" w:customStyle="1" w:styleId="Ttulo1Car">
    <w:name w:val="Título 1 Car"/>
    <w:basedOn w:val="Fuentedeprrafopredeter"/>
    <w:link w:val="Ttulo1"/>
    <w:uiPriority w:val="9"/>
    <w:rsid w:val="009E2EAA"/>
    <w:rPr>
      <w:rFonts w:asciiTheme="majorHAnsi" w:eastAsiaTheme="majorEastAsia" w:hAnsiTheme="majorHAnsi" w:cstheme="majorBidi"/>
      <w:color w:val="365F91" w:themeColor="accent1" w:themeShade="BF"/>
      <w:sz w:val="32"/>
      <w:szCs w:val="32"/>
    </w:rPr>
  </w:style>
  <w:style w:type="character" w:customStyle="1" w:styleId="il">
    <w:name w:val="il"/>
    <w:basedOn w:val="Fuentedeprrafopredeter"/>
    <w:rsid w:val="00BB1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5092">
      <w:bodyDiv w:val="1"/>
      <w:marLeft w:val="0"/>
      <w:marRight w:val="0"/>
      <w:marTop w:val="0"/>
      <w:marBottom w:val="0"/>
      <w:divBdr>
        <w:top w:val="none" w:sz="0" w:space="0" w:color="auto"/>
        <w:left w:val="none" w:sz="0" w:space="0" w:color="auto"/>
        <w:bottom w:val="none" w:sz="0" w:space="0" w:color="auto"/>
        <w:right w:val="none" w:sz="0" w:space="0" w:color="auto"/>
      </w:divBdr>
    </w:div>
    <w:div w:id="286132945">
      <w:bodyDiv w:val="1"/>
      <w:marLeft w:val="0"/>
      <w:marRight w:val="0"/>
      <w:marTop w:val="0"/>
      <w:marBottom w:val="0"/>
      <w:divBdr>
        <w:top w:val="none" w:sz="0" w:space="0" w:color="auto"/>
        <w:left w:val="none" w:sz="0" w:space="0" w:color="auto"/>
        <w:bottom w:val="none" w:sz="0" w:space="0" w:color="auto"/>
        <w:right w:val="none" w:sz="0" w:space="0" w:color="auto"/>
      </w:divBdr>
    </w:div>
    <w:div w:id="322396726">
      <w:bodyDiv w:val="1"/>
      <w:marLeft w:val="0"/>
      <w:marRight w:val="0"/>
      <w:marTop w:val="0"/>
      <w:marBottom w:val="0"/>
      <w:divBdr>
        <w:top w:val="none" w:sz="0" w:space="0" w:color="auto"/>
        <w:left w:val="none" w:sz="0" w:space="0" w:color="auto"/>
        <w:bottom w:val="none" w:sz="0" w:space="0" w:color="auto"/>
        <w:right w:val="none" w:sz="0" w:space="0" w:color="auto"/>
      </w:divBdr>
    </w:div>
    <w:div w:id="699282914">
      <w:bodyDiv w:val="1"/>
      <w:marLeft w:val="0"/>
      <w:marRight w:val="0"/>
      <w:marTop w:val="0"/>
      <w:marBottom w:val="0"/>
      <w:divBdr>
        <w:top w:val="none" w:sz="0" w:space="0" w:color="auto"/>
        <w:left w:val="none" w:sz="0" w:space="0" w:color="auto"/>
        <w:bottom w:val="none" w:sz="0" w:space="0" w:color="auto"/>
        <w:right w:val="none" w:sz="0" w:space="0" w:color="auto"/>
      </w:divBdr>
    </w:div>
    <w:div w:id="723795302">
      <w:bodyDiv w:val="1"/>
      <w:marLeft w:val="0"/>
      <w:marRight w:val="0"/>
      <w:marTop w:val="0"/>
      <w:marBottom w:val="0"/>
      <w:divBdr>
        <w:top w:val="none" w:sz="0" w:space="0" w:color="auto"/>
        <w:left w:val="none" w:sz="0" w:space="0" w:color="auto"/>
        <w:bottom w:val="none" w:sz="0" w:space="0" w:color="auto"/>
        <w:right w:val="none" w:sz="0" w:space="0" w:color="auto"/>
      </w:divBdr>
    </w:div>
    <w:div w:id="804390802">
      <w:bodyDiv w:val="1"/>
      <w:marLeft w:val="0"/>
      <w:marRight w:val="0"/>
      <w:marTop w:val="0"/>
      <w:marBottom w:val="0"/>
      <w:divBdr>
        <w:top w:val="none" w:sz="0" w:space="0" w:color="auto"/>
        <w:left w:val="none" w:sz="0" w:space="0" w:color="auto"/>
        <w:bottom w:val="none" w:sz="0" w:space="0" w:color="auto"/>
        <w:right w:val="none" w:sz="0" w:space="0" w:color="auto"/>
      </w:divBdr>
      <w:divsChild>
        <w:div w:id="1183668741">
          <w:marLeft w:val="432"/>
          <w:marRight w:val="216"/>
          <w:marTop w:val="0"/>
          <w:marBottom w:val="0"/>
          <w:divBdr>
            <w:top w:val="none" w:sz="0" w:space="0" w:color="auto"/>
            <w:left w:val="none" w:sz="0" w:space="0" w:color="auto"/>
            <w:bottom w:val="none" w:sz="0" w:space="0" w:color="auto"/>
            <w:right w:val="none" w:sz="0" w:space="0" w:color="auto"/>
          </w:divBdr>
        </w:div>
        <w:div w:id="452017744">
          <w:marLeft w:val="216"/>
          <w:marRight w:val="432"/>
          <w:marTop w:val="0"/>
          <w:marBottom w:val="0"/>
          <w:divBdr>
            <w:top w:val="none" w:sz="0" w:space="0" w:color="auto"/>
            <w:left w:val="none" w:sz="0" w:space="0" w:color="auto"/>
            <w:bottom w:val="none" w:sz="0" w:space="0" w:color="auto"/>
            <w:right w:val="none" w:sz="0" w:space="0" w:color="auto"/>
          </w:divBdr>
        </w:div>
      </w:divsChild>
    </w:div>
    <w:div w:id="1144197614">
      <w:bodyDiv w:val="1"/>
      <w:marLeft w:val="0"/>
      <w:marRight w:val="0"/>
      <w:marTop w:val="0"/>
      <w:marBottom w:val="0"/>
      <w:divBdr>
        <w:top w:val="none" w:sz="0" w:space="0" w:color="auto"/>
        <w:left w:val="none" w:sz="0" w:space="0" w:color="auto"/>
        <w:bottom w:val="none" w:sz="0" w:space="0" w:color="auto"/>
        <w:right w:val="none" w:sz="0" w:space="0" w:color="auto"/>
      </w:divBdr>
    </w:div>
    <w:div w:id="1188908413">
      <w:bodyDiv w:val="1"/>
      <w:marLeft w:val="0"/>
      <w:marRight w:val="0"/>
      <w:marTop w:val="0"/>
      <w:marBottom w:val="0"/>
      <w:divBdr>
        <w:top w:val="none" w:sz="0" w:space="0" w:color="auto"/>
        <w:left w:val="none" w:sz="0" w:space="0" w:color="auto"/>
        <w:bottom w:val="none" w:sz="0" w:space="0" w:color="auto"/>
        <w:right w:val="none" w:sz="0" w:space="0" w:color="auto"/>
      </w:divBdr>
    </w:div>
    <w:div w:id="1193417679">
      <w:bodyDiv w:val="1"/>
      <w:marLeft w:val="0"/>
      <w:marRight w:val="0"/>
      <w:marTop w:val="0"/>
      <w:marBottom w:val="0"/>
      <w:divBdr>
        <w:top w:val="none" w:sz="0" w:space="0" w:color="auto"/>
        <w:left w:val="none" w:sz="0" w:space="0" w:color="auto"/>
        <w:bottom w:val="none" w:sz="0" w:space="0" w:color="auto"/>
        <w:right w:val="none" w:sz="0" w:space="0" w:color="auto"/>
      </w:divBdr>
      <w:divsChild>
        <w:div w:id="34432568">
          <w:marLeft w:val="432"/>
          <w:marRight w:val="216"/>
          <w:marTop w:val="0"/>
          <w:marBottom w:val="0"/>
          <w:divBdr>
            <w:top w:val="none" w:sz="0" w:space="0" w:color="auto"/>
            <w:left w:val="none" w:sz="0" w:space="0" w:color="auto"/>
            <w:bottom w:val="none" w:sz="0" w:space="0" w:color="auto"/>
            <w:right w:val="none" w:sz="0" w:space="0" w:color="auto"/>
          </w:divBdr>
        </w:div>
        <w:div w:id="470252481">
          <w:marLeft w:val="216"/>
          <w:marRight w:val="432"/>
          <w:marTop w:val="0"/>
          <w:marBottom w:val="0"/>
          <w:divBdr>
            <w:top w:val="none" w:sz="0" w:space="0" w:color="auto"/>
            <w:left w:val="none" w:sz="0" w:space="0" w:color="auto"/>
            <w:bottom w:val="none" w:sz="0" w:space="0" w:color="auto"/>
            <w:right w:val="none" w:sz="0" w:space="0" w:color="auto"/>
          </w:divBdr>
        </w:div>
      </w:divsChild>
    </w:div>
    <w:div w:id="1302805601">
      <w:bodyDiv w:val="1"/>
      <w:marLeft w:val="0"/>
      <w:marRight w:val="0"/>
      <w:marTop w:val="0"/>
      <w:marBottom w:val="0"/>
      <w:divBdr>
        <w:top w:val="none" w:sz="0" w:space="0" w:color="auto"/>
        <w:left w:val="none" w:sz="0" w:space="0" w:color="auto"/>
        <w:bottom w:val="none" w:sz="0" w:space="0" w:color="auto"/>
        <w:right w:val="none" w:sz="0" w:space="0" w:color="auto"/>
      </w:divBdr>
    </w:div>
    <w:div w:id="1541746133">
      <w:bodyDiv w:val="1"/>
      <w:marLeft w:val="0"/>
      <w:marRight w:val="0"/>
      <w:marTop w:val="0"/>
      <w:marBottom w:val="0"/>
      <w:divBdr>
        <w:top w:val="none" w:sz="0" w:space="0" w:color="auto"/>
        <w:left w:val="none" w:sz="0" w:space="0" w:color="auto"/>
        <w:bottom w:val="none" w:sz="0" w:space="0" w:color="auto"/>
        <w:right w:val="none" w:sz="0" w:space="0" w:color="auto"/>
      </w:divBdr>
    </w:div>
    <w:div w:id="1590387107">
      <w:bodyDiv w:val="1"/>
      <w:marLeft w:val="0"/>
      <w:marRight w:val="0"/>
      <w:marTop w:val="0"/>
      <w:marBottom w:val="0"/>
      <w:divBdr>
        <w:top w:val="none" w:sz="0" w:space="0" w:color="auto"/>
        <w:left w:val="none" w:sz="0" w:space="0" w:color="auto"/>
        <w:bottom w:val="none" w:sz="0" w:space="0" w:color="auto"/>
        <w:right w:val="none" w:sz="0" w:space="0" w:color="auto"/>
      </w:divBdr>
    </w:div>
    <w:div w:id="1788233456">
      <w:bodyDiv w:val="1"/>
      <w:marLeft w:val="0"/>
      <w:marRight w:val="0"/>
      <w:marTop w:val="0"/>
      <w:marBottom w:val="0"/>
      <w:divBdr>
        <w:top w:val="none" w:sz="0" w:space="0" w:color="auto"/>
        <w:left w:val="none" w:sz="0" w:space="0" w:color="auto"/>
        <w:bottom w:val="none" w:sz="0" w:space="0" w:color="auto"/>
        <w:right w:val="none" w:sz="0" w:space="0" w:color="auto"/>
      </w:divBdr>
    </w:div>
    <w:div w:id="1823307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5AEBA73-CD28-4E8F-8D1F-6D489BC7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Pages>
  <Words>1203</Words>
  <Characters>6620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Cielo Natalia Londoño Vela</cp:lastModifiedBy>
  <cp:revision>13</cp:revision>
  <cp:lastPrinted>2017-02-23T16:56:00Z</cp:lastPrinted>
  <dcterms:created xsi:type="dcterms:W3CDTF">2020-08-11T19:58:00Z</dcterms:created>
  <dcterms:modified xsi:type="dcterms:W3CDTF">2020-11-13T21:47:00Z</dcterms:modified>
</cp:coreProperties>
</file>